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val="0"/>
        <w:snapToGrid w:val="0"/>
        <w:spacing w:line="580" w:lineRule="exact"/>
        <w:textAlignment w:val="auto"/>
        <w:rPr>
          <w:rFonts w:hint="eastAsia" w:ascii="宋体" w:hAnsi="宋体"/>
          <w:b/>
          <w:color w:val="FF0000"/>
          <w:spacing w:val="-20"/>
          <w:w w:val="50"/>
          <w:szCs w:val="21"/>
        </w:rPr>
      </w:pPr>
      <w:bookmarkStart w:id="0" w:name="缓急"/>
      <w:bookmarkEnd w:id="0"/>
      <w:r>
        <w:rPr>
          <w:rFonts w:hint="eastAsia"/>
          <w:sz w:val="44"/>
          <w:lang w:eastAsia="zh-CN"/>
        </w:rPr>
        <w:t>　　</w:t>
      </w:r>
    </w:p>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方正小标宋简体" w:eastAsia="方正小标宋简体"/>
          <w:w w:val="95"/>
          <w:sz w:val="44"/>
          <w:szCs w:val="44"/>
          <w:lang w:eastAsia="zh-CN"/>
        </w:rPr>
      </w:pPr>
      <w:bookmarkStart w:id="1" w:name="标题"/>
      <w:bookmarkEnd w:id="1"/>
      <w:r>
        <w:rPr>
          <w:rFonts w:hint="eastAsia" w:ascii="方正小标宋简体" w:eastAsia="方正小标宋简体"/>
          <w:w w:val="95"/>
          <w:sz w:val="44"/>
          <w:szCs w:val="44"/>
          <w:lang w:eastAsia="zh-CN"/>
        </w:rPr>
        <w:t>内蒙古自治区人民政府办公厅关于印发</w:t>
      </w:r>
    </w:p>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方正小标宋简体" w:eastAsia="方正小标宋简体"/>
          <w:w w:val="92"/>
          <w:sz w:val="44"/>
          <w:szCs w:val="44"/>
          <w:lang w:eastAsia="zh-CN"/>
        </w:rPr>
      </w:pPr>
      <w:r>
        <w:rPr>
          <w:rFonts w:hint="eastAsia" w:ascii="方正小标宋简体" w:eastAsia="方正小标宋简体"/>
          <w:w w:val="92"/>
          <w:sz w:val="44"/>
          <w:szCs w:val="44"/>
          <w:lang w:eastAsia="zh-CN"/>
        </w:rPr>
        <w:t>《内蒙古自治区本级医疗保障管理办法》的通知</w:t>
      </w:r>
    </w:p>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方正小标宋简体" w:eastAsia="方正小标宋简体"/>
          <w:w w:val="92"/>
          <w:sz w:val="44"/>
          <w:szCs w:val="44"/>
          <w:lang w:eastAsia="zh-CN"/>
        </w:rPr>
      </w:pPr>
    </w:p>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方正小标宋简体" w:eastAsia="方正小标宋简体"/>
          <w:w w:val="92"/>
          <w:sz w:val="44"/>
          <w:szCs w:val="44"/>
          <w:lang w:eastAsia="zh-CN"/>
        </w:rPr>
      </w:pPr>
      <w:r>
        <w:rPr>
          <w:rFonts w:hint="eastAsia" w:ascii="仿宋_GB2312" w:hAnsi="华文仿宋" w:eastAsia="仿宋_GB2312"/>
          <w:sz w:val="32"/>
          <w:lang w:eastAsia="zh-CN"/>
        </w:rPr>
        <w:t>内政办发〔2023〕7号</w:t>
      </w:r>
    </w:p>
    <w:p>
      <w:pPr>
        <w:keepNext w:val="0"/>
        <w:keepLines w:val="0"/>
        <w:pageBreakBefore w:val="0"/>
        <w:widowControl w:val="0"/>
        <w:kinsoku/>
        <w:wordWrap/>
        <w:overflowPunct/>
        <w:topLinePunct w:val="0"/>
        <w:autoSpaceDE/>
        <w:autoSpaceDN/>
        <w:bidi w:val="0"/>
        <w:adjustRightInd/>
        <w:snapToGrid/>
        <w:spacing w:before="157" w:beforeLines="50" w:line="540" w:lineRule="exact"/>
        <w:textAlignment w:val="auto"/>
        <w:rPr>
          <w:rFonts w:hint="eastAsia" w:ascii="楷体" w:hAnsi="楷体" w:eastAsia="楷体" w:cs="楷体"/>
          <w:color w:val="auto"/>
          <w:sz w:val="32"/>
          <w:szCs w:val="32"/>
          <w:lang w:eastAsia="zh-CN"/>
        </w:rPr>
      </w:pPr>
      <w:r>
        <w:rPr>
          <w:rFonts w:hint="eastAsia" w:ascii="楷体" w:hAnsi="楷体" w:eastAsia="楷体" w:cs="楷体"/>
          <w:color w:val="auto"/>
          <w:sz w:val="32"/>
          <w:szCs w:val="32"/>
          <w:lang w:eastAsia="zh-CN"/>
        </w:rPr>
        <w:t>各盟行政公署、市人民政府，自治区各委、办、厅、局，各大企业、事业单位：</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楷体" w:hAnsi="楷体" w:eastAsia="楷体" w:cs="楷体"/>
          <w:color w:val="auto"/>
          <w:sz w:val="32"/>
          <w:szCs w:val="32"/>
          <w:lang w:eastAsia="zh-CN"/>
        </w:rPr>
      </w:pPr>
      <w:r>
        <w:rPr>
          <w:rFonts w:hint="eastAsia" w:ascii="楷体" w:hAnsi="楷体" w:eastAsia="楷体" w:cs="楷体"/>
          <w:color w:val="auto"/>
          <w:sz w:val="32"/>
          <w:szCs w:val="32"/>
          <w:lang w:val="en-US" w:eastAsia="zh-CN"/>
        </w:rPr>
        <w:t>经自治区人民政府同意，现将</w:t>
      </w:r>
      <w:r>
        <w:rPr>
          <w:rFonts w:hint="eastAsia" w:ascii="楷体" w:hAnsi="楷体" w:eastAsia="楷体" w:cs="楷体"/>
          <w:color w:val="auto"/>
          <w:sz w:val="32"/>
          <w:szCs w:val="32"/>
          <w:lang w:eastAsia="zh-CN"/>
        </w:rPr>
        <w:t>《</w:t>
      </w:r>
      <w:r>
        <w:rPr>
          <w:rFonts w:hint="eastAsia" w:ascii="楷体" w:hAnsi="楷体" w:eastAsia="楷体" w:cs="楷体"/>
          <w:color w:val="auto"/>
          <w:sz w:val="32"/>
          <w:szCs w:val="32"/>
        </w:rPr>
        <w:t>内蒙古自治区本级医疗保障管理办法</w:t>
      </w:r>
      <w:r>
        <w:rPr>
          <w:rFonts w:hint="eastAsia" w:ascii="楷体" w:hAnsi="楷体" w:eastAsia="楷体" w:cs="楷体"/>
          <w:color w:val="auto"/>
          <w:sz w:val="32"/>
          <w:szCs w:val="32"/>
          <w:lang w:eastAsia="zh-CN"/>
        </w:rPr>
        <w:t>》印发给你们，请认真贯彻执行。</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楷体" w:hAnsi="楷体" w:eastAsia="楷体" w:cs="楷体"/>
          <w:color w:val="auto"/>
          <w:sz w:val="32"/>
          <w:szCs w:val="32"/>
        </w:rPr>
      </w:pP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楷体" w:hAnsi="楷体" w:eastAsia="楷体" w:cs="楷体"/>
          <w:color w:val="auto"/>
          <w:sz w:val="32"/>
          <w:szCs w:val="32"/>
        </w:rPr>
      </w:pP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楷体" w:hAnsi="楷体" w:eastAsia="楷体" w:cs="楷体"/>
          <w:color w:val="auto"/>
          <w:sz w:val="32"/>
          <w:szCs w:val="32"/>
        </w:rPr>
      </w:pP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楷体" w:hAnsi="楷体" w:eastAsia="楷体" w:cs="楷体"/>
          <w:color w:val="auto"/>
          <w:sz w:val="32"/>
          <w:szCs w:val="32"/>
          <w:lang w:val="en-US" w:eastAsia="zh-CN"/>
        </w:rPr>
      </w:pPr>
      <w:r>
        <w:rPr>
          <w:rFonts w:hint="eastAsia" w:ascii="楷体" w:hAnsi="楷体" w:eastAsia="楷体" w:cs="楷体"/>
          <w:color w:val="auto"/>
          <w:sz w:val="32"/>
          <w:szCs w:val="32"/>
          <w:lang w:val="en-US" w:eastAsia="zh-CN"/>
        </w:rPr>
        <w:t xml:space="preserve">                             2023年1月9日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小标宋简体" w:hAnsi="方正小标宋简体" w:eastAsia="方正小标宋简体" w:cs="方正小标宋简体"/>
          <w:color w:val="auto"/>
          <w:sz w:val="44"/>
          <w:szCs w:val="44"/>
        </w:rPr>
      </w:pPr>
      <w:r>
        <w:rPr>
          <w:rFonts w:hint="eastAsia" w:ascii="楷体" w:hAnsi="楷体" w:eastAsia="楷体" w:cs="楷体"/>
          <w:color w:val="auto"/>
          <w:sz w:val="32"/>
          <w:szCs w:val="32"/>
          <w:lang w:val="en-US" w:eastAsia="zh-CN"/>
        </w:rPr>
        <w:t>（此件公开发布）</w:t>
      </w:r>
      <w:r>
        <w:rPr>
          <w:rFonts w:hint="eastAsia" w:ascii="楷体" w:hAnsi="楷体" w:eastAsia="楷体" w:cs="楷体"/>
          <w:color w:val="auto"/>
          <w:sz w:val="32"/>
          <w:szCs w:val="32"/>
        </w:rPr>
        <w:br w:type="textWrapping"/>
      </w:r>
      <w:r>
        <w:rPr>
          <w:rFonts w:hint="eastAsia" w:ascii="方正小标宋简体" w:hAnsi="方正小标宋简体" w:eastAsia="方正小标宋简体" w:cs="方正小标宋简体"/>
          <w:color w:val="auto"/>
          <w:sz w:val="44"/>
          <w:szCs w:val="44"/>
        </w:rPr>
        <w:br w:type="page"/>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内蒙古自治区本级医疗保障管理办法</w:t>
      </w:r>
    </w:p>
    <w:p>
      <w:pPr>
        <w:keepNext w:val="0"/>
        <w:keepLines w:val="0"/>
        <w:pageBreakBefore w:val="0"/>
        <w:kinsoku/>
        <w:wordWrap/>
        <w:overflowPunct/>
        <w:topLinePunct w:val="0"/>
        <w:autoSpaceDE/>
        <w:autoSpaceDN/>
        <w:bidi w:val="0"/>
        <w:snapToGrid/>
        <w:spacing w:line="580" w:lineRule="exact"/>
        <w:ind w:firstLine="2880" w:firstLineChars="900"/>
        <w:jc w:val="both"/>
        <w:textAlignment w:val="auto"/>
        <w:rPr>
          <w:rFonts w:hint="eastAsia" w:ascii="黑体" w:hAnsi="黑体" w:eastAsia="黑体" w:cs="黑体"/>
          <w:color w:val="auto"/>
          <w:sz w:val="32"/>
          <w:szCs w:val="32"/>
        </w:rPr>
      </w:pPr>
    </w:p>
    <w:p>
      <w:pPr>
        <w:keepNext w:val="0"/>
        <w:keepLines w:val="0"/>
        <w:pageBreakBefore w:val="0"/>
        <w:widowControl w:val="0"/>
        <w:kinsoku/>
        <w:wordWrap/>
        <w:overflowPunct/>
        <w:topLinePunct w:val="0"/>
        <w:autoSpaceDE/>
        <w:autoSpaceDN/>
        <w:bidi w:val="0"/>
        <w:adjustRightInd/>
        <w:snapToGrid/>
        <w:spacing w:before="313" w:beforeLines="100" w:after="313" w:afterLines="100" w:line="580" w:lineRule="exact"/>
        <w:ind w:firstLine="2880" w:firstLineChars="900"/>
        <w:jc w:val="both"/>
        <w:textAlignment w:val="auto"/>
        <w:rPr>
          <w:rFonts w:ascii="黑体" w:hAnsi="黑体" w:eastAsia="黑体"/>
          <w:color w:val="auto"/>
          <w:sz w:val="32"/>
          <w:szCs w:val="32"/>
        </w:rPr>
      </w:pPr>
      <w:r>
        <w:rPr>
          <w:rFonts w:hint="eastAsia" w:ascii="黑体" w:hAnsi="黑体" w:eastAsia="黑体"/>
          <w:color w:val="auto"/>
          <w:sz w:val="32"/>
          <w:szCs w:val="32"/>
        </w:rPr>
        <w:t>第一章   总</w:t>
      </w:r>
      <w:r>
        <w:rPr>
          <w:rFonts w:hint="eastAsia" w:ascii="黑体" w:hAnsi="黑体" w:eastAsia="黑体"/>
          <w:color w:val="auto"/>
          <w:sz w:val="32"/>
          <w:szCs w:val="32"/>
          <w:lang w:val="en-US" w:eastAsia="zh-CN"/>
        </w:rPr>
        <w:t xml:space="preserve">  </w:t>
      </w:r>
      <w:r>
        <w:rPr>
          <w:rFonts w:hint="eastAsia" w:ascii="黑体" w:hAnsi="黑体" w:eastAsia="黑体"/>
          <w:color w:val="auto"/>
          <w:sz w:val="32"/>
          <w:szCs w:val="32"/>
        </w:rPr>
        <w:t xml:space="preserve">  则</w:t>
      </w:r>
    </w:p>
    <w:p>
      <w:pPr>
        <w:keepNext w:val="0"/>
        <w:keepLines w:val="0"/>
        <w:pageBreakBefore w:val="0"/>
        <w:kinsoku/>
        <w:wordWrap/>
        <w:overflowPunct/>
        <w:topLinePunct w:val="0"/>
        <w:autoSpaceDE/>
        <w:autoSpaceDN/>
        <w:bidi w:val="0"/>
        <w:snapToGrid/>
        <w:spacing w:line="580" w:lineRule="exact"/>
        <w:ind w:firstLine="640" w:firstLineChars="200"/>
        <w:textAlignment w:val="auto"/>
        <w:rPr>
          <w:rFonts w:ascii="仿宋" w:hAnsi="仿宋" w:eastAsia="仿宋"/>
          <w:color w:val="auto"/>
          <w:sz w:val="32"/>
          <w:szCs w:val="32"/>
        </w:rPr>
      </w:pPr>
      <w:r>
        <w:rPr>
          <w:rFonts w:hint="eastAsia" w:ascii="黑体" w:hAnsi="黑体" w:eastAsia="黑体"/>
          <w:color w:val="auto"/>
          <w:sz w:val="32"/>
          <w:szCs w:val="32"/>
        </w:rPr>
        <w:t>第一条</w:t>
      </w:r>
      <w:r>
        <w:rPr>
          <w:rFonts w:hint="eastAsia" w:ascii="仿宋" w:hAnsi="仿宋" w:eastAsia="仿宋"/>
          <w:color w:val="auto"/>
          <w:sz w:val="32"/>
          <w:szCs w:val="32"/>
        </w:rPr>
        <w:t xml:space="preserve">  为进一步完善自治区本级职工医疗保障管理制度，</w:t>
      </w:r>
      <w:r>
        <w:rPr>
          <w:rFonts w:hint="eastAsia" w:ascii="仿宋" w:hAnsi="仿宋" w:eastAsia="仿宋"/>
          <w:color w:val="auto"/>
          <w:sz w:val="32"/>
          <w:szCs w:val="32"/>
          <w:lang w:eastAsia="zh-CN"/>
        </w:rPr>
        <w:t>根据</w:t>
      </w:r>
      <w:r>
        <w:rPr>
          <w:rFonts w:hint="eastAsia" w:ascii="仿宋" w:hAnsi="仿宋" w:eastAsia="仿宋"/>
          <w:color w:val="auto"/>
          <w:sz w:val="32"/>
          <w:szCs w:val="32"/>
        </w:rPr>
        <w:t>《中华人民共和国社会保险法》《中共中央</w:t>
      </w:r>
      <w:r>
        <w:rPr>
          <w:rFonts w:hint="eastAsia" w:ascii="仿宋" w:hAnsi="仿宋" w:eastAsia="仿宋"/>
          <w:color w:val="auto"/>
          <w:sz w:val="32"/>
          <w:szCs w:val="32"/>
          <w:lang w:val="en-US" w:eastAsia="zh-CN"/>
        </w:rPr>
        <w:t xml:space="preserve"> </w:t>
      </w:r>
      <w:r>
        <w:rPr>
          <w:rFonts w:hint="eastAsia" w:ascii="仿宋" w:hAnsi="仿宋" w:eastAsia="仿宋"/>
          <w:color w:val="auto"/>
          <w:sz w:val="32"/>
          <w:szCs w:val="32"/>
        </w:rPr>
        <w:t>国务院关于深化医疗保障制度改革的意见》</w:t>
      </w:r>
      <w:r>
        <w:rPr>
          <w:rFonts w:hint="eastAsia" w:ascii="仿宋" w:hAnsi="仿宋" w:eastAsia="仿宋"/>
          <w:color w:val="auto"/>
          <w:sz w:val="32"/>
          <w:szCs w:val="32"/>
          <w:lang w:eastAsia="zh-CN"/>
        </w:rPr>
        <w:t>（中发〔</w:t>
      </w:r>
      <w:r>
        <w:rPr>
          <w:rFonts w:hint="eastAsia" w:ascii="仿宋" w:hAnsi="仿宋" w:eastAsia="仿宋"/>
          <w:color w:val="auto"/>
          <w:sz w:val="32"/>
          <w:szCs w:val="32"/>
          <w:lang w:val="en-US" w:eastAsia="zh-CN"/>
        </w:rPr>
        <w:t>2020</w:t>
      </w:r>
      <w:r>
        <w:rPr>
          <w:rFonts w:hint="eastAsia" w:ascii="仿宋" w:hAnsi="仿宋" w:eastAsia="仿宋"/>
          <w:color w:val="auto"/>
          <w:sz w:val="32"/>
          <w:szCs w:val="32"/>
          <w:lang w:eastAsia="zh-CN"/>
        </w:rPr>
        <w:t>〕</w:t>
      </w:r>
      <w:r>
        <w:rPr>
          <w:rFonts w:hint="eastAsia" w:ascii="仿宋" w:hAnsi="仿宋" w:eastAsia="仿宋"/>
          <w:color w:val="auto"/>
          <w:sz w:val="32"/>
          <w:szCs w:val="32"/>
          <w:lang w:val="en-US" w:eastAsia="zh-CN"/>
        </w:rPr>
        <w:t>5</w:t>
      </w:r>
      <w:r>
        <w:rPr>
          <w:rFonts w:hint="eastAsia" w:ascii="仿宋" w:hAnsi="仿宋" w:eastAsia="仿宋"/>
          <w:color w:val="auto"/>
          <w:sz w:val="32"/>
          <w:szCs w:val="32"/>
          <w:lang w:eastAsia="zh-CN"/>
        </w:rPr>
        <w:t>号）、</w:t>
      </w:r>
      <w:r>
        <w:rPr>
          <w:rFonts w:hint="eastAsia" w:ascii="仿宋" w:hAnsi="仿宋" w:eastAsia="仿宋"/>
          <w:color w:val="auto"/>
          <w:sz w:val="32"/>
          <w:szCs w:val="32"/>
        </w:rPr>
        <w:t>《</w:t>
      </w:r>
      <w:r>
        <w:rPr>
          <w:rFonts w:hint="eastAsia" w:ascii="仿宋" w:hAnsi="仿宋" w:eastAsia="仿宋"/>
          <w:color w:val="auto"/>
          <w:sz w:val="32"/>
          <w:szCs w:val="32"/>
          <w:lang w:eastAsia="zh-CN"/>
        </w:rPr>
        <w:t>医疗保障基金使用监督管理条例》（中华人民共和国国务院令第</w:t>
      </w:r>
      <w:r>
        <w:rPr>
          <w:rFonts w:hint="eastAsia" w:ascii="仿宋" w:hAnsi="仿宋" w:eastAsia="仿宋"/>
          <w:color w:val="auto"/>
          <w:sz w:val="32"/>
          <w:szCs w:val="32"/>
          <w:lang w:val="en-US" w:eastAsia="zh-CN"/>
        </w:rPr>
        <w:t>735号</w:t>
      </w:r>
      <w:r>
        <w:rPr>
          <w:rFonts w:hint="eastAsia" w:ascii="仿宋" w:hAnsi="仿宋" w:eastAsia="仿宋"/>
          <w:color w:val="auto"/>
          <w:sz w:val="32"/>
          <w:szCs w:val="32"/>
          <w:lang w:eastAsia="zh-CN"/>
        </w:rPr>
        <w:t>）等</w:t>
      </w:r>
      <w:r>
        <w:rPr>
          <w:rFonts w:hint="eastAsia" w:ascii="仿宋" w:hAnsi="仿宋" w:eastAsia="仿宋"/>
          <w:color w:val="auto"/>
          <w:sz w:val="32"/>
          <w:szCs w:val="32"/>
        </w:rPr>
        <w:t>法律法规</w:t>
      </w:r>
      <w:r>
        <w:rPr>
          <w:rFonts w:hint="eastAsia" w:ascii="仿宋" w:hAnsi="仿宋" w:eastAsia="仿宋"/>
          <w:color w:val="auto"/>
          <w:sz w:val="32"/>
          <w:szCs w:val="32"/>
          <w:lang w:eastAsia="zh-CN"/>
        </w:rPr>
        <w:t>及文件精神，</w:t>
      </w:r>
      <w:r>
        <w:rPr>
          <w:rFonts w:hint="eastAsia" w:ascii="仿宋" w:hAnsi="仿宋" w:eastAsia="仿宋"/>
          <w:color w:val="auto"/>
          <w:sz w:val="32"/>
          <w:szCs w:val="32"/>
        </w:rPr>
        <w:t>制定本办法。</w:t>
      </w:r>
    </w:p>
    <w:p>
      <w:pPr>
        <w:keepNext w:val="0"/>
        <w:keepLines w:val="0"/>
        <w:pageBreakBefore w:val="0"/>
        <w:kinsoku/>
        <w:wordWrap/>
        <w:overflowPunct/>
        <w:topLinePunct w:val="0"/>
        <w:autoSpaceDE/>
        <w:autoSpaceDN/>
        <w:bidi w:val="0"/>
        <w:snapToGrid/>
        <w:spacing w:line="580" w:lineRule="exact"/>
        <w:ind w:firstLine="640" w:firstLineChars="200"/>
        <w:textAlignment w:val="auto"/>
        <w:rPr>
          <w:rFonts w:hint="eastAsia" w:ascii="仿宋" w:hAnsi="仿宋" w:eastAsia="仿宋"/>
          <w:color w:val="auto"/>
          <w:sz w:val="32"/>
          <w:szCs w:val="32"/>
        </w:rPr>
      </w:pPr>
      <w:r>
        <w:rPr>
          <w:rFonts w:hint="eastAsia" w:ascii="黑体" w:hAnsi="黑体" w:eastAsia="黑体"/>
          <w:color w:val="auto"/>
          <w:sz w:val="32"/>
          <w:szCs w:val="32"/>
        </w:rPr>
        <w:t>第二条</w:t>
      </w:r>
      <w:r>
        <w:rPr>
          <w:rFonts w:hint="eastAsia" w:ascii="仿宋" w:hAnsi="仿宋" w:eastAsia="仿宋"/>
          <w:color w:val="auto"/>
          <w:sz w:val="32"/>
          <w:szCs w:val="32"/>
        </w:rPr>
        <w:t xml:space="preserve">  自治区直属机关、</w:t>
      </w:r>
      <w:r>
        <w:rPr>
          <w:rFonts w:hint="eastAsia" w:ascii="仿宋" w:hAnsi="仿宋" w:eastAsia="仿宋"/>
          <w:color w:val="auto"/>
          <w:sz w:val="32"/>
          <w:szCs w:val="32"/>
          <w:highlight w:val="none"/>
          <w:lang w:val="en-US" w:eastAsia="zh-CN"/>
        </w:rPr>
        <w:t>企</w:t>
      </w:r>
      <w:r>
        <w:rPr>
          <w:rFonts w:hint="eastAsia" w:ascii="仿宋" w:hAnsi="仿宋" w:eastAsia="仿宋"/>
          <w:color w:val="auto"/>
          <w:sz w:val="32"/>
          <w:szCs w:val="32"/>
          <w:highlight w:val="none"/>
        </w:rPr>
        <w:t>事业单位</w:t>
      </w:r>
      <w:r>
        <w:rPr>
          <w:rFonts w:hint="eastAsia" w:ascii="仿宋" w:hAnsi="仿宋" w:eastAsia="仿宋"/>
          <w:color w:val="auto"/>
          <w:sz w:val="32"/>
          <w:szCs w:val="32"/>
        </w:rPr>
        <w:t>，呼和浩特地区的中央直属机关和中央直属企业自治区管理机构及其职工依照本办法参加自治区本级职工基本医疗保险。</w:t>
      </w:r>
    </w:p>
    <w:p>
      <w:pPr>
        <w:keepNext w:val="0"/>
        <w:keepLines w:val="0"/>
        <w:pageBreakBefore w:val="0"/>
        <w:kinsoku/>
        <w:wordWrap/>
        <w:overflowPunct/>
        <w:topLinePunct w:val="0"/>
        <w:autoSpaceDE/>
        <w:autoSpaceDN/>
        <w:bidi w:val="0"/>
        <w:snapToGrid/>
        <w:spacing w:line="580" w:lineRule="exact"/>
        <w:ind w:firstLine="640" w:firstLineChars="200"/>
        <w:textAlignment w:val="auto"/>
        <w:rPr>
          <w:rFonts w:ascii="仿宋" w:hAnsi="仿宋" w:eastAsia="仿宋"/>
          <w:color w:val="auto"/>
          <w:sz w:val="32"/>
          <w:szCs w:val="32"/>
        </w:rPr>
      </w:pPr>
      <w:r>
        <w:rPr>
          <w:rFonts w:hint="eastAsia" w:ascii="黑体" w:hAnsi="黑体" w:eastAsia="黑体"/>
          <w:color w:val="auto"/>
          <w:sz w:val="32"/>
          <w:szCs w:val="32"/>
          <w:highlight w:val="none"/>
        </w:rPr>
        <w:t>第三条</w:t>
      </w:r>
      <w:r>
        <w:rPr>
          <w:rFonts w:hint="eastAsia" w:ascii="仿宋" w:hAnsi="仿宋" w:eastAsia="仿宋"/>
          <w:color w:val="auto"/>
          <w:sz w:val="32"/>
          <w:szCs w:val="32"/>
          <w:highlight w:val="none"/>
        </w:rPr>
        <w:t xml:space="preserve">  自治区医疗保障</w:t>
      </w:r>
      <w:r>
        <w:rPr>
          <w:rFonts w:hint="eastAsia" w:ascii="仿宋" w:hAnsi="仿宋" w:eastAsia="仿宋"/>
          <w:color w:val="auto"/>
          <w:sz w:val="32"/>
          <w:szCs w:val="32"/>
          <w:highlight w:val="none"/>
          <w:u w:val="none"/>
          <w:lang w:val="en-US" w:eastAsia="zh-CN"/>
        </w:rPr>
        <w:t>机构</w:t>
      </w:r>
      <w:r>
        <w:rPr>
          <w:rFonts w:hint="eastAsia" w:ascii="仿宋" w:hAnsi="仿宋" w:eastAsia="仿宋"/>
          <w:color w:val="auto"/>
          <w:sz w:val="32"/>
          <w:szCs w:val="32"/>
          <w:highlight w:val="none"/>
        </w:rPr>
        <w:t>对全区基本医疗保险实施行政管理，统一领导和组织自治区本级职工基本医疗保险工作</w:t>
      </w:r>
      <w:r>
        <w:rPr>
          <w:rFonts w:hint="eastAsia" w:ascii="仿宋" w:hAnsi="仿宋" w:eastAsia="仿宋"/>
          <w:color w:val="auto"/>
          <w:sz w:val="32"/>
          <w:szCs w:val="32"/>
          <w:highlight w:val="none"/>
          <w:lang w:eastAsia="zh-CN"/>
        </w:rPr>
        <w:t>。</w:t>
      </w:r>
      <w:r>
        <w:rPr>
          <w:rFonts w:hint="eastAsia" w:ascii="仿宋" w:hAnsi="仿宋" w:eastAsia="仿宋"/>
          <w:color w:val="auto"/>
          <w:sz w:val="32"/>
          <w:szCs w:val="32"/>
        </w:rPr>
        <w:t>自治区财政部门</w:t>
      </w:r>
      <w:r>
        <w:rPr>
          <w:rFonts w:hint="eastAsia" w:ascii="仿宋" w:hAnsi="仿宋" w:eastAsia="仿宋"/>
          <w:color w:val="auto"/>
          <w:sz w:val="32"/>
          <w:szCs w:val="32"/>
          <w:lang w:eastAsia="zh-CN"/>
        </w:rPr>
        <w:t>配合做好基本医疗保障基金预决算汇总和基金使用的监督管理工作</w:t>
      </w:r>
      <w:r>
        <w:rPr>
          <w:rFonts w:hint="eastAsia" w:ascii="仿宋" w:hAnsi="仿宋" w:eastAsia="仿宋"/>
          <w:color w:val="auto"/>
          <w:sz w:val="32"/>
          <w:szCs w:val="32"/>
        </w:rPr>
        <w:t>；</w:t>
      </w:r>
      <w:r>
        <w:rPr>
          <w:rFonts w:hint="eastAsia" w:ascii="仿宋" w:hAnsi="仿宋" w:eastAsia="仿宋"/>
          <w:color w:val="auto"/>
          <w:sz w:val="32"/>
          <w:szCs w:val="32"/>
          <w:lang w:eastAsia="zh-CN"/>
        </w:rPr>
        <w:t>自治区</w:t>
      </w:r>
      <w:r>
        <w:rPr>
          <w:rFonts w:hint="eastAsia" w:ascii="仿宋" w:hAnsi="仿宋" w:eastAsia="仿宋"/>
          <w:color w:val="auto"/>
          <w:sz w:val="32"/>
          <w:szCs w:val="32"/>
        </w:rPr>
        <w:t>审计部门要定期对医保基金收支和管理情况进行审计；自治区</w:t>
      </w:r>
      <w:r>
        <w:rPr>
          <w:rFonts w:hint="eastAsia" w:ascii="仿宋" w:hAnsi="仿宋" w:eastAsia="仿宋"/>
          <w:color w:val="auto"/>
          <w:sz w:val="32"/>
          <w:szCs w:val="32"/>
          <w:lang w:eastAsia="zh-CN"/>
        </w:rPr>
        <w:t>卫生健康</w:t>
      </w:r>
      <w:r>
        <w:rPr>
          <w:rFonts w:hint="eastAsia" w:ascii="仿宋" w:hAnsi="仿宋" w:eastAsia="仿宋"/>
          <w:color w:val="auto"/>
          <w:sz w:val="32"/>
          <w:szCs w:val="32"/>
        </w:rPr>
        <w:t>部门、药监部门要加强对定点医疗机构和定点零售药店的</w:t>
      </w:r>
      <w:r>
        <w:rPr>
          <w:rFonts w:hint="eastAsia" w:ascii="仿宋" w:hAnsi="仿宋" w:eastAsia="仿宋"/>
          <w:color w:val="auto"/>
          <w:sz w:val="32"/>
          <w:szCs w:val="32"/>
          <w:lang w:eastAsia="zh-CN"/>
        </w:rPr>
        <w:t>监督</w:t>
      </w:r>
      <w:r>
        <w:rPr>
          <w:rFonts w:hint="eastAsia" w:ascii="仿宋" w:hAnsi="仿宋" w:eastAsia="仿宋"/>
          <w:color w:val="auto"/>
          <w:sz w:val="32"/>
          <w:szCs w:val="32"/>
        </w:rPr>
        <w:t>管理，积极推进医药卫生体制改革；</w:t>
      </w:r>
      <w:r>
        <w:rPr>
          <w:rFonts w:hint="eastAsia" w:ascii="仿宋" w:hAnsi="仿宋" w:eastAsia="仿宋"/>
          <w:color w:val="auto"/>
          <w:sz w:val="32"/>
          <w:szCs w:val="32"/>
          <w:lang w:eastAsia="zh-CN"/>
        </w:rPr>
        <w:t>内蒙古</w:t>
      </w:r>
      <w:r>
        <w:rPr>
          <w:rFonts w:hint="eastAsia" w:ascii="仿宋" w:hAnsi="仿宋" w:eastAsia="仿宋"/>
          <w:color w:val="auto"/>
          <w:sz w:val="32"/>
          <w:szCs w:val="32"/>
        </w:rPr>
        <w:t>税务部门负责自治区本级基本医疗保险费的征缴</w:t>
      </w:r>
      <w:r>
        <w:rPr>
          <w:rFonts w:hint="eastAsia" w:ascii="仿宋" w:hAnsi="仿宋" w:eastAsia="仿宋"/>
          <w:color w:val="auto"/>
          <w:sz w:val="32"/>
          <w:szCs w:val="32"/>
          <w:lang w:eastAsia="zh-CN"/>
        </w:rPr>
        <w:t>；自治区医疗保险经办机构应当建立健全业务、财务安全、风险管理和预算绩效管理制度，做好服务协议管理、费用监控、基金拨付、待遇审核及支付等工作，并定期向社会公开医疗保障基金的收入、支出、结余等情况，接受社会监督</w:t>
      </w:r>
      <w:r>
        <w:rPr>
          <w:rFonts w:hint="eastAsia" w:ascii="仿宋" w:hAnsi="仿宋" w:eastAsia="仿宋"/>
          <w:color w:val="auto"/>
          <w:sz w:val="32"/>
          <w:szCs w:val="32"/>
        </w:rPr>
        <w:t>。</w:t>
      </w:r>
    </w:p>
    <w:p>
      <w:pPr>
        <w:keepNext w:val="0"/>
        <w:keepLines w:val="0"/>
        <w:pageBreakBefore w:val="0"/>
        <w:widowControl w:val="0"/>
        <w:kinsoku/>
        <w:wordWrap/>
        <w:overflowPunct/>
        <w:topLinePunct w:val="0"/>
        <w:autoSpaceDE/>
        <w:autoSpaceDN/>
        <w:bidi w:val="0"/>
        <w:adjustRightInd/>
        <w:snapToGrid/>
        <w:spacing w:before="313" w:beforeLines="100" w:after="313" w:afterLines="100" w:line="580" w:lineRule="exact"/>
        <w:jc w:val="center"/>
        <w:textAlignment w:val="auto"/>
        <w:rPr>
          <w:rFonts w:ascii="黑体" w:hAnsi="黑体" w:eastAsia="黑体"/>
          <w:color w:val="auto"/>
          <w:sz w:val="32"/>
          <w:szCs w:val="32"/>
        </w:rPr>
      </w:pPr>
      <w:r>
        <w:rPr>
          <w:rFonts w:hint="eastAsia" w:ascii="黑体" w:hAnsi="黑体" w:eastAsia="黑体"/>
          <w:color w:val="auto"/>
          <w:sz w:val="32"/>
          <w:szCs w:val="32"/>
        </w:rPr>
        <w:t>第二章   职工基本医疗保险</w:t>
      </w:r>
    </w:p>
    <w:p>
      <w:pPr>
        <w:keepNext w:val="0"/>
        <w:keepLines w:val="0"/>
        <w:pageBreakBefore w:val="0"/>
        <w:kinsoku/>
        <w:wordWrap/>
        <w:overflowPunct/>
        <w:topLinePunct/>
        <w:autoSpaceDE/>
        <w:autoSpaceDN/>
        <w:bidi w:val="0"/>
        <w:adjustRightInd/>
        <w:snapToGrid/>
        <w:spacing w:line="580" w:lineRule="exact"/>
        <w:ind w:firstLine="640" w:firstLineChars="200"/>
        <w:textAlignment w:val="auto"/>
        <w:rPr>
          <w:rFonts w:hint="eastAsia" w:ascii="仿宋" w:hAnsi="仿宋" w:eastAsia="仿宋"/>
          <w:color w:val="auto"/>
          <w:sz w:val="32"/>
          <w:szCs w:val="32"/>
          <w:lang w:eastAsia="zh-CN"/>
        </w:rPr>
      </w:pPr>
      <w:r>
        <w:rPr>
          <w:rFonts w:hint="eastAsia" w:ascii="黑体" w:hAnsi="黑体" w:eastAsia="黑体"/>
          <w:color w:val="auto"/>
          <w:sz w:val="32"/>
          <w:szCs w:val="32"/>
        </w:rPr>
        <w:t>第</w:t>
      </w:r>
      <w:r>
        <w:rPr>
          <w:rFonts w:hint="eastAsia" w:ascii="黑体" w:hAnsi="黑体" w:eastAsia="黑体"/>
          <w:color w:val="auto"/>
          <w:sz w:val="32"/>
          <w:szCs w:val="32"/>
          <w:lang w:eastAsia="zh-CN"/>
        </w:rPr>
        <w:t>四</w:t>
      </w:r>
      <w:r>
        <w:rPr>
          <w:rFonts w:hint="eastAsia" w:ascii="黑体" w:hAnsi="黑体" w:eastAsia="黑体"/>
          <w:color w:val="auto"/>
          <w:sz w:val="32"/>
          <w:szCs w:val="32"/>
        </w:rPr>
        <w:t>条</w:t>
      </w:r>
      <w:r>
        <w:rPr>
          <w:rFonts w:hint="eastAsia" w:ascii="仿宋" w:hAnsi="仿宋" w:eastAsia="仿宋"/>
          <w:color w:val="auto"/>
          <w:sz w:val="32"/>
          <w:szCs w:val="32"/>
        </w:rPr>
        <w:t xml:space="preserve">  基本医疗保险费由参保单位和参保人员共同缴纳。缴纳基数每年核定一次，年度内不作调整。缴纳标准为</w:t>
      </w:r>
      <w:r>
        <w:rPr>
          <w:rFonts w:hint="eastAsia" w:ascii="仿宋" w:hAnsi="仿宋" w:eastAsia="仿宋"/>
          <w:color w:val="auto"/>
          <w:sz w:val="32"/>
          <w:szCs w:val="32"/>
          <w:lang w:eastAsia="zh-CN"/>
        </w:rPr>
        <w:t>：</w:t>
      </w:r>
    </w:p>
    <w:p>
      <w:pPr>
        <w:keepNext w:val="0"/>
        <w:keepLines w:val="0"/>
        <w:pageBreakBefore w:val="0"/>
        <w:widowControl w:val="0"/>
        <w:kinsoku/>
        <w:wordWrap/>
        <w:overflowPunct/>
        <w:topLinePunct/>
        <w:autoSpaceDE/>
        <w:autoSpaceDN/>
        <w:bidi w:val="0"/>
        <w:adjustRightInd/>
        <w:snapToGrid/>
        <w:spacing w:line="580" w:lineRule="exact"/>
        <w:ind w:left="0" w:leftChars="0" w:firstLine="617" w:firstLineChars="193"/>
        <w:textAlignment w:val="auto"/>
        <w:rPr>
          <w:rFonts w:hint="eastAsia" w:ascii="仿宋" w:hAnsi="仿宋" w:eastAsia="仿宋"/>
          <w:color w:val="auto"/>
          <w:sz w:val="32"/>
          <w:szCs w:val="32"/>
          <w:lang w:eastAsia="zh-CN"/>
        </w:rPr>
      </w:pPr>
      <w:r>
        <w:rPr>
          <w:rFonts w:hint="eastAsia" w:ascii="仿宋" w:hAnsi="仿宋" w:eastAsia="仿宋"/>
          <w:color w:val="auto"/>
          <w:sz w:val="32"/>
          <w:szCs w:val="32"/>
          <w:lang w:eastAsia="zh-CN"/>
        </w:rPr>
        <w:t>（</w:t>
      </w:r>
      <w:r>
        <w:rPr>
          <w:rFonts w:hint="eastAsia" w:ascii="仿宋" w:hAnsi="仿宋" w:eastAsia="仿宋"/>
          <w:color w:val="auto"/>
          <w:sz w:val="32"/>
          <w:szCs w:val="32"/>
        </w:rPr>
        <w:t>一</w:t>
      </w:r>
      <w:r>
        <w:rPr>
          <w:rFonts w:hint="eastAsia" w:ascii="仿宋" w:hAnsi="仿宋" w:eastAsia="仿宋"/>
          <w:color w:val="auto"/>
          <w:sz w:val="32"/>
          <w:szCs w:val="32"/>
          <w:lang w:eastAsia="zh-CN"/>
        </w:rPr>
        <w:t>）</w:t>
      </w:r>
      <w:r>
        <w:rPr>
          <w:rFonts w:hint="eastAsia" w:ascii="仿宋" w:hAnsi="仿宋" w:eastAsia="仿宋"/>
          <w:color w:val="auto"/>
          <w:spacing w:val="-11"/>
          <w:sz w:val="32"/>
          <w:szCs w:val="32"/>
        </w:rPr>
        <w:t>参保单位按上年度</w:t>
      </w:r>
      <w:r>
        <w:rPr>
          <w:rFonts w:ascii="仿宋" w:hAnsi="仿宋" w:eastAsia="仿宋"/>
          <w:color w:val="auto"/>
          <w:spacing w:val="-11"/>
          <w:sz w:val="32"/>
          <w:szCs w:val="32"/>
          <w:lang w:val="en"/>
        </w:rPr>
        <w:t>（</w:t>
      </w:r>
      <w:r>
        <w:rPr>
          <w:rFonts w:hint="eastAsia" w:ascii="仿宋" w:hAnsi="仿宋" w:eastAsia="仿宋"/>
          <w:color w:val="auto"/>
          <w:spacing w:val="-11"/>
          <w:sz w:val="32"/>
          <w:szCs w:val="32"/>
        </w:rPr>
        <w:t>业务年度）</w:t>
      </w:r>
      <w:r>
        <w:rPr>
          <w:rFonts w:hint="eastAsia" w:ascii="仿宋" w:hAnsi="仿宋" w:eastAsia="仿宋"/>
          <w:color w:val="auto"/>
          <w:spacing w:val="-6"/>
          <w:sz w:val="32"/>
          <w:szCs w:val="32"/>
        </w:rPr>
        <w:t>职工工资总额的7%缴纳</w:t>
      </w:r>
      <w:r>
        <w:rPr>
          <w:rFonts w:hint="eastAsia" w:ascii="仿宋" w:hAnsi="仿宋" w:eastAsia="仿宋"/>
          <w:color w:val="auto"/>
          <w:sz w:val="32"/>
          <w:szCs w:val="32"/>
          <w:lang w:eastAsia="zh-CN"/>
        </w:rPr>
        <w:t>。</w:t>
      </w:r>
    </w:p>
    <w:p>
      <w:pPr>
        <w:keepNext w:val="0"/>
        <w:keepLines w:val="0"/>
        <w:pageBreakBefore w:val="0"/>
        <w:kinsoku/>
        <w:wordWrap/>
        <w:overflowPunct/>
        <w:topLinePunct/>
        <w:autoSpaceDE/>
        <w:autoSpaceDN/>
        <w:bidi w:val="0"/>
        <w:adjustRightInd/>
        <w:snapToGrid/>
        <w:spacing w:line="580" w:lineRule="exact"/>
        <w:ind w:firstLine="640" w:firstLineChars="200"/>
        <w:textAlignment w:val="auto"/>
        <w:rPr>
          <w:rFonts w:hint="eastAsia" w:ascii="仿宋" w:hAnsi="仿宋" w:eastAsia="仿宋"/>
          <w:color w:val="auto"/>
          <w:sz w:val="32"/>
          <w:szCs w:val="32"/>
          <w:lang w:eastAsia="zh-CN"/>
        </w:rPr>
      </w:pPr>
      <w:r>
        <w:rPr>
          <w:rFonts w:hint="eastAsia" w:ascii="仿宋" w:hAnsi="仿宋" w:eastAsia="仿宋"/>
          <w:color w:val="auto"/>
          <w:sz w:val="32"/>
          <w:szCs w:val="32"/>
          <w:lang w:eastAsia="zh-CN"/>
        </w:rPr>
        <w:t>（</w:t>
      </w:r>
      <w:r>
        <w:rPr>
          <w:rFonts w:hint="eastAsia" w:ascii="仿宋" w:hAnsi="仿宋" w:eastAsia="仿宋"/>
          <w:color w:val="auto"/>
          <w:sz w:val="32"/>
          <w:szCs w:val="32"/>
        </w:rPr>
        <w:t>二</w:t>
      </w:r>
      <w:r>
        <w:rPr>
          <w:rFonts w:hint="eastAsia" w:ascii="仿宋" w:hAnsi="仿宋" w:eastAsia="仿宋"/>
          <w:color w:val="auto"/>
          <w:sz w:val="32"/>
          <w:szCs w:val="32"/>
          <w:lang w:eastAsia="zh-CN"/>
        </w:rPr>
        <w:t>）</w:t>
      </w:r>
      <w:r>
        <w:rPr>
          <w:rFonts w:hint="eastAsia" w:ascii="仿宋" w:hAnsi="仿宋" w:eastAsia="仿宋"/>
          <w:color w:val="auto"/>
          <w:sz w:val="32"/>
          <w:szCs w:val="32"/>
        </w:rPr>
        <w:t>参保人员按上年度</w:t>
      </w:r>
      <w:r>
        <w:rPr>
          <w:rFonts w:ascii="仿宋" w:hAnsi="仿宋" w:eastAsia="仿宋"/>
          <w:color w:val="auto"/>
          <w:sz w:val="32"/>
          <w:szCs w:val="32"/>
          <w:lang w:val="en"/>
        </w:rPr>
        <w:t>（</w:t>
      </w:r>
      <w:r>
        <w:rPr>
          <w:rFonts w:hint="eastAsia" w:ascii="仿宋" w:hAnsi="仿宋" w:eastAsia="仿宋"/>
          <w:color w:val="auto"/>
          <w:sz w:val="32"/>
          <w:szCs w:val="32"/>
        </w:rPr>
        <w:t>业务年度）工资收入的2%缴纳</w:t>
      </w:r>
      <w:r>
        <w:rPr>
          <w:rFonts w:hint="eastAsia" w:ascii="仿宋" w:hAnsi="仿宋" w:eastAsia="仿宋"/>
          <w:color w:val="auto"/>
          <w:sz w:val="32"/>
          <w:szCs w:val="32"/>
          <w:lang w:eastAsia="zh-CN"/>
        </w:rPr>
        <w:t>。</w:t>
      </w:r>
    </w:p>
    <w:p>
      <w:pPr>
        <w:keepNext w:val="0"/>
        <w:keepLines w:val="0"/>
        <w:pageBreakBefore w:val="0"/>
        <w:kinsoku/>
        <w:wordWrap/>
        <w:overflowPunct/>
        <w:topLinePunct/>
        <w:autoSpaceDE/>
        <w:autoSpaceDN/>
        <w:bidi w:val="0"/>
        <w:adjustRightInd/>
        <w:snapToGrid/>
        <w:spacing w:line="580" w:lineRule="exact"/>
        <w:ind w:firstLine="640" w:firstLineChars="200"/>
        <w:textAlignment w:val="auto"/>
        <w:rPr>
          <w:rFonts w:hint="eastAsia" w:ascii="仿宋" w:hAnsi="仿宋" w:eastAsia="仿宋"/>
          <w:color w:val="auto"/>
          <w:sz w:val="32"/>
          <w:szCs w:val="32"/>
          <w:lang w:eastAsia="zh-CN"/>
        </w:rPr>
      </w:pPr>
      <w:r>
        <w:rPr>
          <w:rFonts w:hint="eastAsia" w:ascii="仿宋" w:hAnsi="仿宋" w:eastAsia="仿宋"/>
          <w:color w:val="auto"/>
          <w:sz w:val="32"/>
          <w:szCs w:val="32"/>
          <w:lang w:eastAsia="zh-CN"/>
        </w:rPr>
        <w:t>（</w:t>
      </w:r>
      <w:r>
        <w:rPr>
          <w:rFonts w:hint="eastAsia" w:ascii="仿宋" w:hAnsi="仿宋" w:eastAsia="仿宋"/>
          <w:color w:val="auto"/>
          <w:sz w:val="32"/>
          <w:szCs w:val="32"/>
        </w:rPr>
        <w:t>三</w:t>
      </w:r>
      <w:r>
        <w:rPr>
          <w:rFonts w:hint="eastAsia" w:ascii="仿宋" w:hAnsi="仿宋" w:eastAsia="仿宋"/>
          <w:color w:val="auto"/>
          <w:sz w:val="32"/>
          <w:szCs w:val="32"/>
          <w:lang w:eastAsia="zh-CN"/>
        </w:rPr>
        <w:t>）</w:t>
      </w:r>
      <w:r>
        <w:rPr>
          <w:rFonts w:hint="eastAsia" w:ascii="仿宋" w:hAnsi="仿宋" w:eastAsia="仿宋"/>
          <w:color w:val="auto"/>
          <w:sz w:val="32"/>
          <w:szCs w:val="32"/>
        </w:rPr>
        <w:t>灵活就业人员的缴费费率为参保单位与参保人员缴费费率之和</w:t>
      </w:r>
      <w:r>
        <w:rPr>
          <w:rFonts w:hint="eastAsia" w:ascii="仿宋" w:hAnsi="仿宋" w:eastAsia="仿宋"/>
          <w:color w:val="auto"/>
          <w:sz w:val="32"/>
          <w:szCs w:val="32"/>
          <w:lang w:eastAsia="zh-CN"/>
        </w:rPr>
        <w:t>。</w:t>
      </w:r>
    </w:p>
    <w:p>
      <w:pPr>
        <w:keepNext w:val="0"/>
        <w:keepLines w:val="0"/>
        <w:pageBreakBefore w:val="0"/>
        <w:widowControl/>
        <w:kinsoku/>
        <w:wordWrap/>
        <w:overflowPunct/>
        <w:topLinePunct/>
        <w:autoSpaceDE/>
        <w:autoSpaceDN/>
        <w:bidi w:val="0"/>
        <w:adjustRightInd/>
        <w:snapToGrid/>
        <w:spacing w:line="580" w:lineRule="exact"/>
        <w:ind w:firstLine="640" w:firstLineChars="200"/>
        <w:jc w:val="both"/>
        <w:textAlignment w:val="auto"/>
        <w:rPr>
          <w:rFonts w:ascii="仿宋" w:hAnsi="仿宋" w:eastAsia="仿宋"/>
          <w:color w:val="auto"/>
          <w:sz w:val="32"/>
          <w:szCs w:val="32"/>
        </w:rPr>
      </w:pPr>
      <w:r>
        <w:rPr>
          <w:rFonts w:hint="eastAsia" w:ascii="仿宋" w:hAnsi="仿宋" w:eastAsia="仿宋"/>
          <w:color w:val="auto"/>
          <w:sz w:val="32"/>
          <w:szCs w:val="32"/>
          <w:lang w:eastAsia="zh-CN"/>
        </w:rPr>
        <w:t>（</w:t>
      </w:r>
      <w:r>
        <w:rPr>
          <w:rFonts w:hint="eastAsia" w:ascii="仿宋" w:hAnsi="仿宋" w:eastAsia="仿宋"/>
          <w:color w:val="auto"/>
          <w:sz w:val="32"/>
          <w:szCs w:val="32"/>
        </w:rPr>
        <w:t>四</w:t>
      </w:r>
      <w:r>
        <w:rPr>
          <w:rFonts w:hint="eastAsia" w:ascii="仿宋" w:hAnsi="仿宋" w:eastAsia="仿宋"/>
          <w:color w:val="auto"/>
          <w:sz w:val="32"/>
          <w:szCs w:val="32"/>
          <w:lang w:eastAsia="zh-CN"/>
        </w:rPr>
        <w:t>）</w:t>
      </w:r>
      <w:r>
        <w:rPr>
          <w:rFonts w:hint="eastAsia" w:ascii="仿宋" w:hAnsi="仿宋" w:eastAsia="仿宋" w:cs="仿宋"/>
          <w:b w:val="0"/>
          <w:bCs w:val="0"/>
          <w:sz w:val="32"/>
          <w:szCs w:val="32"/>
          <w:lang w:eastAsia="zh-CN"/>
        </w:rPr>
        <w:t>以自治区上年度城镇非私营单位和私营单位加权计算的全口径城镇单位就业人员平均工资，作为年度医疗保险缴费基数标准。参保单位职工上年度平均工资低于自治区上年度城镇非私营单位和私营单位加权计算的全口径城镇单位就业人员平均工资</w:t>
      </w:r>
      <w:r>
        <w:rPr>
          <w:rFonts w:hint="eastAsia" w:ascii="仿宋" w:hAnsi="仿宋" w:eastAsia="仿宋" w:cs="仿宋"/>
          <w:b w:val="0"/>
          <w:bCs w:val="0"/>
          <w:color w:val="auto"/>
          <w:sz w:val="32"/>
          <w:szCs w:val="32"/>
          <w:lang w:eastAsia="zh-CN"/>
        </w:rPr>
        <w:t>80%的，以80%为缴费基数；</w:t>
      </w:r>
      <w:r>
        <w:rPr>
          <w:rFonts w:hint="eastAsia" w:ascii="仿宋" w:hAnsi="仿宋" w:eastAsia="仿宋" w:cs="仿宋"/>
          <w:b w:val="0"/>
          <w:bCs w:val="0"/>
          <w:color w:val="auto"/>
          <w:sz w:val="32"/>
          <w:szCs w:val="32"/>
          <w:u w:val="none"/>
          <w:lang w:eastAsia="zh-CN"/>
        </w:rPr>
        <w:t>高于300%以上的</w:t>
      </w:r>
      <w:r>
        <w:rPr>
          <w:rFonts w:hint="eastAsia" w:ascii="仿宋" w:hAnsi="仿宋" w:eastAsia="仿宋" w:cs="仿宋"/>
          <w:b w:val="0"/>
          <w:bCs w:val="0"/>
          <w:color w:val="auto"/>
          <w:sz w:val="32"/>
          <w:szCs w:val="32"/>
          <w:lang w:eastAsia="zh-CN"/>
        </w:rPr>
        <w:t>，以300%为缴费基数。</w:t>
      </w:r>
      <w:r>
        <w:rPr>
          <w:rFonts w:hint="eastAsia" w:ascii="仿宋" w:hAnsi="仿宋" w:eastAsia="仿宋" w:cs="仿宋"/>
          <w:b w:val="0"/>
          <w:bCs w:val="0"/>
          <w:sz w:val="32"/>
          <w:szCs w:val="32"/>
          <w:lang w:eastAsia="zh-CN"/>
        </w:rPr>
        <w:t>灵活就业人员的缴费基数，按自治区上年度城镇非私营单位和私营单位加权计算的全口径城镇单位就业人员平均工资的80%核定。</w:t>
      </w:r>
    </w:p>
    <w:p>
      <w:pPr>
        <w:keepNext w:val="0"/>
        <w:keepLines w:val="0"/>
        <w:pageBreakBefore w:val="0"/>
        <w:kinsoku/>
        <w:wordWrap/>
        <w:overflowPunct/>
        <w:topLinePunct w:val="0"/>
        <w:autoSpaceDE/>
        <w:autoSpaceDN/>
        <w:bidi w:val="0"/>
        <w:snapToGrid/>
        <w:spacing w:line="580" w:lineRule="exact"/>
        <w:ind w:firstLine="640" w:firstLineChars="200"/>
        <w:textAlignment w:val="auto"/>
        <w:rPr>
          <w:rFonts w:ascii="仿宋" w:hAnsi="仿宋" w:eastAsia="仿宋"/>
          <w:color w:val="auto"/>
          <w:sz w:val="32"/>
          <w:szCs w:val="32"/>
        </w:rPr>
      </w:pPr>
      <w:r>
        <w:rPr>
          <w:rFonts w:hint="eastAsia" w:ascii="仿宋" w:hAnsi="仿宋" w:eastAsia="仿宋"/>
          <w:color w:val="auto"/>
          <w:sz w:val="32"/>
          <w:szCs w:val="32"/>
        </w:rPr>
        <w:t>随着经济</w:t>
      </w:r>
      <w:r>
        <w:rPr>
          <w:rFonts w:hint="eastAsia" w:ascii="仿宋" w:hAnsi="仿宋" w:eastAsia="仿宋"/>
          <w:color w:val="auto"/>
          <w:sz w:val="32"/>
          <w:szCs w:val="32"/>
          <w:lang w:eastAsia="zh-CN"/>
        </w:rPr>
        <w:t>社会</w:t>
      </w:r>
      <w:r>
        <w:rPr>
          <w:rFonts w:hint="eastAsia" w:ascii="仿宋" w:hAnsi="仿宋" w:eastAsia="仿宋"/>
          <w:color w:val="auto"/>
          <w:sz w:val="32"/>
          <w:szCs w:val="32"/>
        </w:rPr>
        <w:t>发展，基本医疗保险费率由自治区人民政府作出相应调整。</w:t>
      </w:r>
    </w:p>
    <w:p>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ascii="仿宋" w:hAnsi="仿宋" w:eastAsia="仿宋"/>
          <w:color w:val="auto"/>
          <w:sz w:val="32"/>
          <w:szCs w:val="32"/>
        </w:rPr>
      </w:pPr>
      <w:r>
        <w:rPr>
          <w:rFonts w:hint="eastAsia" w:ascii="黑体" w:hAnsi="黑体" w:eastAsia="黑体"/>
          <w:color w:val="auto"/>
          <w:sz w:val="32"/>
          <w:szCs w:val="32"/>
        </w:rPr>
        <w:t>第</w:t>
      </w:r>
      <w:r>
        <w:rPr>
          <w:rFonts w:hint="eastAsia" w:ascii="黑体" w:hAnsi="黑体" w:eastAsia="黑体"/>
          <w:color w:val="auto"/>
          <w:sz w:val="32"/>
          <w:szCs w:val="32"/>
          <w:lang w:val="en-US" w:eastAsia="zh-CN"/>
        </w:rPr>
        <w:t>五</w:t>
      </w:r>
      <w:r>
        <w:rPr>
          <w:rFonts w:hint="eastAsia" w:ascii="黑体" w:hAnsi="黑体" w:eastAsia="黑体"/>
          <w:color w:val="auto"/>
          <w:sz w:val="32"/>
          <w:szCs w:val="32"/>
        </w:rPr>
        <w:t xml:space="preserve">条  </w:t>
      </w:r>
      <w:r>
        <w:rPr>
          <w:rFonts w:hint="eastAsia" w:ascii="仿宋" w:hAnsi="仿宋" w:eastAsia="仿宋"/>
          <w:color w:val="auto"/>
          <w:sz w:val="32"/>
          <w:szCs w:val="32"/>
        </w:rPr>
        <w:t>参保人员符合法定退休</w:t>
      </w:r>
      <w:r>
        <w:rPr>
          <w:rFonts w:hint="eastAsia" w:ascii="仿宋" w:hAnsi="仿宋" w:eastAsia="仿宋"/>
          <w:color w:val="auto"/>
          <w:spacing w:val="6"/>
          <w:sz w:val="32"/>
          <w:szCs w:val="32"/>
        </w:rPr>
        <w:t>条件，并具备以下条件的</w:t>
      </w:r>
      <w:r>
        <w:rPr>
          <w:rFonts w:hint="eastAsia" w:ascii="仿宋" w:hAnsi="仿宋" w:eastAsia="仿宋"/>
          <w:color w:val="auto"/>
          <w:sz w:val="32"/>
          <w:szCs w:val="32"/>
        </w:rPr>
        <w:t>，可享受退休人员医疗保险待遇。</w:t>
      </w:r>
    </w:p>
    <w:p>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eastAsia" w:ascii="楷体" w:hAnsi="楷体" w:eastAsia="楷体" w:cs="楷体"/>
          <w:color w:val="auto"/>
          <w:sz w:val="32"/>
          <w:szCs w:val="32"/>
          <w:lang w:val="en-US" w:eastAsia="zh-CN"/>
        </w:rPr>
      </w:pPr>
      <w:r>
        <w:rPr>
          <w:rFonts w:hint="eastAsia" w:ascii="楷体" w:hAnsi="楷体" w:eastAsia="楷体" w:cs="楷体"/>
          <w:color w:val="auto"/>
          <w:sz w:val="32"/>
          <w:szCs w:val="32"/>
          <w:lang w:val="en"/>
        </w:rPr>
        <w:t>（</w:t>
      </w:r>
      <w:r>
        <w:rPr>
          <w:rFonts w:hint="eastAsia" w:ascii="楷体" w:hAnsi="楷体" w:eastAsia="楷体" w:cs="楷体"/>
          <w:color w:val="auto"/>
          <w:sz w:val="32"/>
          <w:szCs w:val="32"/>
        </w:rPr>
        <w:t>一）单位参保人员</w:t>
      </w:r>
      <w:r>
        <w:rPr>
          <w:rFonts w:hint="eastAsia" w:ascii="楷体" w:hAnsi="楷体" w:eastAsia="楷体" w:cs="楷体"/>
          <w:color w:val="auto"/>
          <w:sz w:val="32"/>
          <w:szCs w:val="32"/>
          <w:lang w:eastAsia="zh-CN"/>
        </w:rPr>
        <w:t>。</w:t>
      </w:r>
    </w:p>
    <w:p>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ascii="仿宋" w:hAnsi="仿宋" w:eastAsia="仿宋"/>
          <w:color w:val="auto"/>
          <w:sz w:val="32"/>
          <w:szCs w:val="32"/>
        </w:rPr>
      </w:pPr>
      <w:r>
        <w:rPr>
          <w:rFonts w:hint="eastAsia" w:ascii="仿宋" w:hAnsi="仿宋" w:eastAsia="仿宋"/>
          <w:color w:val="auto"/>
          <w:sz w:val="32"/>
          <w:szCs w:val="32"/>
        </w:rPr>
        <w:t>1.2005年6月30日之前参加医疗保险的人员，办理医疗保险退休手续时，连续缴费的可直接办理，中断缴费的应一次性补缴，不受缴费年限限制。</w:t>
      </w:r>
    </w:p>
    <w:p>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ascii="仿宋" w:hAnsi="仿宋" w:eastAsia="仿宋"/>
          <w:color w:val="auto"/>
          <w:sz w:val="32"/>
          <w:szCs w:val="32"/>
        </w:rPr>
      </w:pPr>
      <w:r>
        <w:rPr>
          <w:rFonts w:hint="eastAsia" w:ascii="仿宋" w:hAnsi="仿宋" w:eastAsia="仿宋"/>
          <w:color w:val="auto"/>
          <w:sz w:val="32"/>
          <w:szCs w:val="32"/>
        </w:rPr>
        <w:t>2.2005年7月1日至2015年12月31日参加医疗保险的人员，医疗保险缴费年限应满20年。办理退休手续时，实际缴费年限不足20年的，由</w:t>
      </w:r>
      <w:r>
        <w:rPr>
          <w:rFonts w:hint="eastAsia" w:ascii="仿宋" w:hAnsi="仿宋" w:eastAsia="仿宋"/>
          <w:color w:val="auto"/>
          <w:sz w:val="32"/>
          <w:szCs w:val="32"/>
          <w:lang w:eastAsia="zh-CN"/>
        </w:rPr>
        <w:t>参保单位</w:t>
      </w:r>
      <w:r>
        <w:rPr>
          <w:rFonts w:hint="eastAsia" w:ascii="仿宋" w:hAnsi="仿宋" w:eastAsia="仿宋"/>
          <w:color w:val="auto"/>
          <w:sz w:val="32"/>
          <w:szCs w:val="32"/>
        </w:rPr>
        <w:t>按其退休时当月工资为基数和当年基本医疗保险单位缴费比例一次性补缴所差实际缴费月数的基本医疗保险费，其费用全部纳入统筹基金</w:t>
      </w:r>
      <w:r>
        <w:rPr>
          <w:rFonts w:hint="eastAsia" w:ascii="仿宋" w:hAnsi="仿宋" w:eastAsia="仿宋"/>
          <w:color w:val="auto"/>
          <w:sz w:val="32"/>
          <w:szCs w:val="32"/>
          <w:lang w:eastAsia="zh-CN"/>
        </w:rPr>
        <w:t>，</w:t>
      </w:r>
      <w:r>
        <w:rPr>
          <w:rFonts w:hint="eastAsia" w:ascii="仿宋" w:hAnsi="仿宋" w:eastAsia="仿宋"/>
          <w:color w:val="auto"/>
          <w:sz w:val="32"/>
          <w:szCs w:val="32"/>
        </w:rPr>
        <w:t>不划个人</w:t>
      </w:r>
      <w:r>
        <w:rPr>
          <w:rFonts w:hint="eastAsia" w:ascii="仿宋" w:hAnsi="仿宋" w:eastAsia="仿宋"/>
          <w:color w:val="auto"/>
          <w:sz w:val="32"/>
          <w:szCs w:val="32"/>
          <w:lang w:eastAsia="zh-CN"/>
        </w:rPr>
        <w:t>账</w:t>
      </w:r>
      <w:r>
        <w:rPr>
          <w:rFonts w:hint="eastAsia" w:ascii="仿宋" w:hAnsi="仿宋" w:eastAsia="仿宋"/>
          <w:color w:val="auto"/>
          <w:sz w:val="32"/>
          <w:szCs w:val="32"/>
        </w:rPr>
        <w:t>户。</w:t>
      </w:r>
    </w:p>
    <w:p>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eastAsia" w:ascii="楷体" w:hAnsi="楷体" w:eastAsia="楷体" w:cs="楷体"/>
          <w:color w:val="auto"/>
          <w:sz w:val="32"/>
          <w:szCs w:val="32"/>
          <w:lang w:eastAsia="zh-CN"/>
        </w:rPr>
      </w:pPr>
      <w:r>
        <w:rPr>
          <w:rFonts w:hint="default" w:ascii="楷体" w:hAnsi="楷体" w:eastAsia="楷体" w:cs="楷体"/>
          <w:color w:val="auto"/>
          <w:sz w:val="32"/>
          <w:szCs w:val="32"/>
          <w:lang w:val="en"/>
        </w:rPr>
        <w:t>（</w:t>
      </w:r>
      <w:r>
        <w:rPr>
          <w:rFonts w:hint="eastAsia" w:ascii="楷体" w:hAnsi="楷体" w:eastAsia="楷体" w:cs="楷体"/>
          <w:color w:val="auto"/>
          <w:sz w:val="32"/>
          <w:szCs w:val="32"/>
        </w:rPr>
        <w:t>二）灵活就业人员</w:t>
      </w:r>
      <w:r>
        <w:rPr>
          <w:rFonts w:hint="eastAsia" w:ascii="楷体" w:hAnsi="楷体" w:eastAsia="楷体" w:cs="楷体"/>
          <w:color w:val="auto"/>
          <w:sz w:val="32"/>
          <w:szCs w:val="32"/>
          <w:lang w:eastAsia="zh-CN"/>
        </w:rPr>
        <w:t>。</w:t>
      </w:r>
    </w:p>
    <w:p>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eastAsia" w:ascii="仿宋" w:hAnsi="仿宋" w:eastAsia="仿宋"/>
          <w:color w:val="auto"/>
          <w:sz w:val="32"/>
          <w:szCs w:val="32"/>
        </w:rPr>
      </w:pPr>
      <w:r>
        <w:rPr>
          <w:rFonts w:hint="eastAsia" w:ascii="仿宋" w:hAnsi="仿宋" w:eastAsia="仿宋"/>
          <w:color w:val="auto"/>
          <w:sz w:val="32"/>
          <w:szCs w:val="32"/>
        </w:rPr>
        <w:t>2016年1月1日之前参加医疗保险的人员，医疗保险缴费年限应满20年。实际缴费年限不足20年的，</w:t>
      </w:r>
      <w:r>
        <w:rPr>
          <w:rFonts w:ascii="仿宋" w:hAnsi="仿宋" w:eastAsia="仿宋" w:cs="Tahoma"/>
          <w:color w:val="auto"/>
          <w:sz w:val="32"/>
          <w:szCs w:val="32"/>
        </w:rPr>
        <w:t>按照</w:t>
      </w:r>
      <w:r>
        <w:rPr>
          <w:rFonts w:hint="eastAsia" w:ascii="仿宋" w:hAnsi="仿宋" w:eastAsia="仿宋"/>
          <w:color w:val="auto"/>
          <w:sz w:val="32"/>
          <w:szCs w:val="32"/>
        </w:rPr>
        <w:t>办理退休手续时</w:t>
      </w:r>
      <w:r>
        <w:rPr>
          <w:rFonts w:ascii="仿宋" w:hAnsi="仿宋" w:eastAsia="仿宋" w:cs="Tahoma"/>
          <w:color w:val="auto"/>
          <w:sz w:val="32"/>
          <w:szCs w:val="32"/>
          <w:highlight w:val="none"/>
        </w:rPr>
        <w:t>上年度</w:t>
      </w:r>
      <w:r>
        <w:rPr>
          <w:rFonts w:ascii="仿宋" w:hAnsi="仿宋" w:eastAsia="仿宋" w:cs="Tahoma"/>
          <w:color w:val="auto"/>
          <w:sz w:val="32"/>
          <w:szCs w:val="32"/>
        </w:rPr>
        <w:t>的缴费标准一次性缴纳余期应当缴纳的基本医疗保险费</w:t>
      </w:r>
      <w:r>
        <w:rPr>
          <w:rFonts w:hint="eastAsia" w:ascii="仿宋" w:hAnsi="仿宋" w:eastAsia="仿宋" w:cs="Tahoma"/>
          <w:color w:val="auto"/>
          <w:sz w:val="32"/>
          <w:szCs w:val="32"/>
        </w:rPr>
        <w:t>，</w:t>
      </w:r>
      <w:r>
        <w:rPr>
          <w:rFonts w:hint="eastAsia" w:ascii="仿宋" w:hAnsi="仿宋" w:eastAsia="仿宋"/>
          <w:color w:val="auto"/>
          <w:sz w:val="32"/>
          <w:szCs w:val="32"/>
        </w:rPr>
        <w:t>也可不</w:t>
      </w:r>
      <w:r>
        <w:rPr>
          <w:rFonts w:ascii="仿宋" w:hAnsi="仿宋" w:eastAsia="仿宋" w:cs="Tahoma"/>
          <w:color w:val="auto"/>
          <w:sz w:val="32"/>
          <w:szCs w:val="32"/>
        </w:rPr>
        <w:t>一次性</w:t>
      </w:r>
      <w:r>
        <w:rPr>
          <w:rFonts w:hint="eastAsia" w:ascii="仿宋" w:hAnsi="仿宋" w:eastAsia="仿宋" w:cs="Tahoma"/>
          <w:color w:val="auto"/>
          <w:sz w:val="32"/>
          <w:szCs w:val="32"/>
        </w:rPr>
        <w:t>进行补缴</w:t>
      </w:r>
      <w:r>
        <w:rPr>
          <w:rFonts w:hint="eastAsia" w:ascii="仿宋" w:hAnsi="仿宋" w:eastAsia="仿宋"/>
          <w:color w:val="auto"/>
          <w:sz w:val="32"/>
          <w:szCs w:val="32"/>
        </w:rPr>
        <w:t>，按期缴费满20年后办理医疗保险退休手续。</w:t>
      </w:r>
    </w:p>
    <w:p>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eastAsia" w:ascii="楷体" w:hAnsi="楷体" w:eastAsia="楷体" w:cs="楷体"/>
          <w:color w:val="auto"/>
          <w:sz w:val="32"/>
          <w:szCs w:val="32"/>
          <w:lang w:eastAsia="zh-CN"/>
        </w:rPr>
      </w:pPr>
      <w:r>
        <w:rPr>
          <w:rFonts w:hint="eastAsia" w:ascii="楷体" w:hAnsi="楷体" w:eastAsia="楷体" w:cs="楷体"/>
          <w:color w:val="auto"/>
          <w:sz w:val="32"/>
          <w:szCs w:val="32"/>
          <w:lang w:eastAsia="zh-CN"/>
        </w:rPr>
        <w:t>（三）参保人员。</w:t>
      </w:r>
    </w:p>
    <w:p>
      <w:pPr>
        <w:pStyle w:val="2"/>
        <w:keepNext w:val="0"/>
        <w:keepLines w:val="0"/>
        <w:pageBreakBefore w:val="0"/>
        <w:kinsoku/>
        <w:wordWrap/>
        <w:overflowPunct/>
        <w:topLinePunct w:val="0"/>
        <w:autoSpaceDE/>
        <w:autoSpaceDN/>
        <w:bidi w:val="0"/>
        <w:snapToGrid/>
        <w:spacing w:before="0" w:beforeAutospacing="0" w:after="0" w:afterAutospacing="0" w:line="580" w:lineRule="exact"/>
        <w:ind w:firstLine="640" w:firstLineChars="200"/>
        <w:jc w:val="both"/>
        <w:textAlignment w:val="auto"/>
        <w:rPr>
          <w:rFonts w:ascii="仿宋" w:hAnsi="仿宋" w:eastAsia="仿宋" w:cs="Tahoma"/>
          <w:b w:val="0"/>
          <w:bCs w:val="0"/>
          <w:color w:val="auto"/>
          <w:sz w:val="32"/>
          <w:szCs w:val="32"/>
        </w:rPr>
      </w:pPr>
      <w:r>
        <w:rPr>
          <w:rFonts w:hint="eastAsia" w:ascii="仿宋" w:hAnsi="仿宋" w:eastAsia="仿宋"/>
          <w:b w:val="0"/>
          <w:bCs w:val="0"/>
          <w:color w:val="auto"/>
          <w:sz w:val="32"/>
          <w:szCs w:val="32"/>
        </w:rPr>
        <w:t>2016年1月1日后参加医疗保险的人员</w:t>
      </w:r>
      <w:r>
        <w:rPr>
          <w:rFonts w:hint="default" w:ascii="仿宋" w:hAnsi="仿宋" w:eastAsia="仿宋"/>
          <w:b w:val="0"/>
          <w:bCs w:val="0"/>
          <w:color w:val="auto"/>
          <w:sz w:val="32"/>
          <w:szCs w:val="32"/>
          <w:lang w:val="en"/>
        </w:rPr>
        <w:t>（</w:t>
      </w:r>
      <w:r>
        <w:rPr>
          <w:rFonts w:hint="eastAsia" w:ascii="仿宋" w:hAnsi="仿宋" w:eastAsia="仿宋"/>
          <w:b w:val="0"/>
          <w:bCs w:val="0"/>
          <w:color w:val="auto"/>
          <w:sz w:val="32"/>
          <w:szCs w:val="32"/>
        </w:rPr>
        <w:t>含灵活就业人员），</w:t>
      </w:r>
      <w:r>
        <w:rPr>
          <w:rFonts w:ascii="仿宋" w:hAnsi="仿宋" w:eastAsia="仿宋" w:cs="Tahoma"/>
          <w:b w:val="0"/>
          <w:bCs w:val="0"/>
          <w:color w:val="auto"/>
          <w:sz w:val="32"/>
          <w:szCs w:val="32"/>
        </w:rPr>
        <w:t>参加职工基本医疗保险的个人达到法定</w:t>
      </w:r>
      <w:r>
        <w:rPr>
          <w:color w:val="auto"/>
        </w:rPr>
        <w:fldChar w:fldCharType="begin"/>
      </w:r>
      <w:r>
        <w:rPr>
          <w:color w:val="auto"/>
        </w:rPr>
        <w:instrText xml:space="preserve"> HYPERLINK "https://www.66law.cn/special/txnl/" \t "_blank" \o "退休年龄" </w:instrText>
      </w:r>
      <w:r>
        <w:rPr>
          <w:color w:val="auto"/>
        </w:rPr>
        <w:fldChar w:fldCharType="separate"/>
      </w:r>
      <w:r>
        <w:rPr>
          <w:rStyle w:val="15"/>
          <w:rFonts w:ascii="仿宋" w:hAnsi="仿宋" w:eastAsia="仿宋" w:cs="Tahoma"/>
          <w:b w:val="0"/>
          <w:bCs w:val="0"/>
          <w:color w:val="auto"/>
          <w:sz w:val="32"/>
          <w:szCs w:val="32"/>
          <w:u w:val="none"/>
        </w:rPr>
        <w:t>退休年龄</w:t>
      </w:r>
      <w:r>
        <w:rPr>
          <w:rStyle w:val="15"/>
          <w:rFonts w:ascii="仿宋" w:hAnsi="仿宋" w:eastAsia="仿宋" w:cs="Tahoma"/>
          <w:b w:val="0"/>
          <w:bCs w:val="0"/>
          <w:color w:val="auto"/>
          <w:sz w:val="32"/>
          <w:szCs w:val="32"/>
          <w:u w:val="none"/>
        </w:rPr>
        <w:fldChar w:fldCharType="end"/>
      </w:r>
      <w:r>
        <w:rPr>
          <w:rFonts w:ascii="仿宋" w:hAnsi="仿宋" w:eastAsia="仿宋" w:cs="Tahoma"/>
          <w:b w:val="0"/>
          <w:bCs w:val="0"/>
          <w:color w:val="auto"/>
          <w:sz w:val="32"/>
          <w:szCs w:val="32"/>
        </w:rPr>
        <w:t>，且累计缴费年限满</w:t>
      </w:r>
      <w:r>
        <w:rPr>
          <w:rFonts w:hint="eastAsia" w:ascii="仿宋" w:hAnsi="仿宋" w:eastAsia="仿宋" w:cs="Tahoma"/>
          <w:b w:val="0"/>
          <w:bCs w:val="0"/>
          <w:color w:val="auto"/>
          <w:sz w:val="32"/>
          <w:szCs w:val="32"/>
        </w:rPr>
        <w:t>25</w:t>
      </w:r>
      <w:r>
        <w:rPr>
          <w:rFonts w:ascii="仿宋" w:hAnsi="仿宋" w:eastAsia="仿宋" w:cs="Tahoma"/>
          <w:b w:val="0"/>
          <w:bCs w:val="0"/>
          <w:color w:val="auto"/>
          <w:sz w:val="32"/>
          <w:szCs w:val="32"/>
        </w:rPr>
        <w:t>年的，退休后不再缴纳基本医疗保险费，按照规定享受职工基本医疗保险待遇。达到法定退休年龄，累计缴费年限未达到规定年限的，按照</w:t>
      </w:r>
      <w:r>
        <w:rPr>
          <w:rFonts w:hint="eastAsia" w:ascii="仿宋" w:hAnsi="仿宋" w:eastAsia="仿宋" w:cs="Tahoma"/>
          <w:b w:val="0"/>
          <w:bCs w:val="0"/>
          <w:color w:val="auto"/>
          <w:sz w:val="32"/>
          <w:szCs w:val="32"/>
          <w:lang w:val="en-US" w:eastAsia="zh-CN"/>
        </w:rPr>
        <w:t>上年度</w:t>
      </w:r>
      <w:r>
        <w:rPr>
          <w:rFonts w:ascii="仿宋" w:hAnsi="仿宋" w:eastAsia="仿宋" w:cs="Tahoma"/>
          <w:b w:val="0"/>
          <w:bCs w:val="0"/>
          <w:color w:val="auto"/>
          <w:sz w:val="32"/>
          <w:szCs w:val="32"/>
        </w:rPr>
        <w:t>缴费标准一次性缴纳余期应当缴纳的基本医疗保险费。</w:t>
      </w:r>
    </w:p>
    <w:p>
      <w:pPr>
        <w:keepNext w:val="0"/>
        <w:keepLines w:val="0"/>
        <w:pageBreakBefore w:val="0"/>
        <w:kinsoku/>
        <w:wordWrap/>
        <w:overflowPunct/>
        <w:topLinePunct w:val="0"/>
        <w:autoSpaceDE/>
        <w:autoSpaceDN/>
        <w:bidi w:val="0"/>
        <w:snapToGrid/>
        <w:spacing w:line="580" w:lineRule="exact"/>
        <w:ind w:firstLine="640" w:firstLineChars="200"/>
        <w:textAlignment w:val="auto"/>
        <w:rPr>
          <w:rFonts w:ascii="仿宋" w:hAnsi="仿宋" w:eastAsia="仿宋"/>
          <w:color w:val="auto"/>
          <w:sz w:val="32"/>
          <w:szCs w:val="32"/>
        </w:rPr>
      </w:pPr>
      <w:r>
        <w:rPr>
          <w:rFonts w:hint="eastAsia" w:ascii="黑体" w:hAnsi="黑体" w:eastAsia="黑体"/>
          <w:color w:val="auto"/>
          <w:sz w:val="32"/>
          <w:szCs w:val="32"/>
        </w:rPr>
        <w:t>第</w:t>
      </w:r>
      <w:r>
        <w:rPr>
          <w:rFonts w:hint="eastAsia" w:ascii="黑体" w:hAnsi="黑体" w:eastAsia="黑体"/>
          <w:color w:val="auto"/>
          <w:sz w:val="32"/>
          <w:szCs w:val="32"/>
          <w:lang w:eastAsia="zh-CN"/>
        </w:rPr>
        <w:t>六</w:t>
      </w:r>
      <w:r>
        <w:rPr>
          <w:rFonts w:hint="eastAsia" w:ascii="黑体" w:hAnsi="黑体" w:eastAsia="黑体"/>
          <w:color w:val="auto"/>
          <w:sz w:val="32"/>
          <w:szCs w:val="32"/>
        </w:rPr>
        <w:t>条</w:t>
      </w:r>
      <w:r>
        <w:rPr>
          <w:rFonts w:hint="eastAsia" w:ascii="仿宋" w:hAnsi="仿宋" w:eastAsia="仿宋"/>
          <w:color w:val="auto"/>
          <w:sz w:val="32"/>
          <w:szCs w:val="32"/>
        </w:rPr>
        <w:t xml:space="preserve">  基本医疗保险费按月缴纳，参保单位必须在规定时限</w:t>
      </w:r>
      <w:r>
        <w:rPr>
          <w:rFonts w:hint="eastAsia" w:ascii="仿宋" w:hAnsi="仿宋" w:eastAsia="仿宋"/>
          <w:color w:val="auto"/>
          <w:spacing w:val="-6"/>
          <w:sz w:val="32"/>
          <w:szCs w:val="32"/>
        </w:rPr>
        <w:t>内足额上缴。职工个人缴纳的部分由</w:t>
      </w:r>
      <w:r>
        <w:rPr>
          <w:rFonts w:hint="eastAsia" w:ascii="仿宋" w:hAnsi="仿宋" w:eastAsia="仿宋"/>
          <w:color w:val="auto"/>
          <w:spacing w:val="-6"/>
          <w:sz w:val="32"/>
          <w:szCs w:val="32"/>
          <w:lang w:eastAsia="zh-CN"/>
        </w:rPr>
        <w:t>参保单位</w:t>
      </w:r>
      <w:r>
        <w:rPr>
          <w:rFonts w:hint="eastAsia" w:ascii="仿宋" w:hAnsi="仿宋" w:eastAsia="仿宋"/>
          <w:color w:val="auto"/>
          <w:spacing w:val="-6"/>
          <w:sz w:val="32"/>
          <w:szCs w:val="32"/>
        </w:rPr>
        <w:t>从工资中代为扣缴。</w:t>
      </w:r>
    </w:p>
    <w:p>
      <w:pPr>
        <w:keepNext w:val="0"/>
        <w:keepLines w:val="0"/>
        <w:pageBreakBefore w:val="0"/>
        <w:kinsoku/>
        <w:wordWrap/>
        <w:overflowPunct/>
        <w:topLinePunct w:val="0"/>
        <w:autoSpaceDE/>
        <w:autoSpaceDN/>
        <w:bidi w:val="0"/>
        <w:snapToGrid/>
        <w:spacing w:line="580" w:lineRule="exact"/>
        <w:ind w:firstLine="640" w:firstLineChars="200"/>
        <w:textAlignment w:val="auto"/>
        <w:rPr>
          <w:rFonts w:ascii="仿宋" w:hAnsi="仿宋" w:eastAsia="仿宋"/>
          <w:color w:val="auto"/>
          <w:sz w:val="32"/>
          <w:szCs w:val="32"/>
        </w:rPr>
      </w:pPr>
      <w:r>
        <w:rPr>
          <w:rFonts w:hint="eastAsia" w:ascii="黑体" w:hAnsi="黑体" w:eastAsia="黑体"/>
          <w:color w:val="auto"/>
          <w:sz w:val="32"/>
          <w:szCs w:val="32"/>
        </w:rPr>
        <w:t>第</w:t>
      </w:r>
      <w:r>
        <w:rPr>
          <w:rFonts w:hint="eastAsia" w:ascii="黑体" w:hAnsi="黑体" w:eastAsia="黑体"/>
          <w:color w:val="auto"/>
          <w:sz w:val="32"/>
          <w:szCs w:val="32"/>
          <w:lang w:eastAsia="zh-CN"/>
        </w:rPr>
        <w:t>七</w:t>
      </w:r>
      <w:r>
        <w:rPr>
          <w:rFonts w:hint="eastAsia" w:ascii="黑体" w:hAnsi="黑体" w:eastAsia="黑体"/>
          <w:color w:val="auto"/>
          <w:sz w:val="32"/>
          <w:szCs w:val="32"/>
        </w:rPr>
        <w:t>条</w:t>
      </w:r>
      <w:r>
        <w:rPr>
          <w:rFonts w:hint="eastAsia" w:ascii="仿宋" w:hAnsi="仿宋" w:eastAsia="仿宋"/>
          <w:color w:val="auto"/>
          <w:sz w:val="32"/>
          <w:szCs w:val="32"/>
        </w:rPr>
        <w:t xml:space="preserve">  参保单位要按照《</w:t>
      </w:r>
      <w:r>
        <w:rPr>
          <w:rFonts w:hint="eastAsia" w:ascii="仿宋" w:hAnsi="仿宋" w:eastAsia="仿宋"/>
          <w:color w:val="auto"/>
          <w:sz w:val="32"/>
          <w:szCs w:val="32"/>
          <w:lang w:eastAsia="zh-CN"/>
        </w:rPr>
        <w:t>中华人民共和国</w:t>
      </w:r>
      <w:r>
        <w:rPr>
          <w:rFonts w:hint="eastAsia" w:ascii="仿宋" w:hAnsi="仿宋" w:eastAsia="仿宋"/>
          <w:color w:val="auto"/>
          <w:sz w:val="32"/>
          <w:szCs w:val="32"/>
        </w:rPr>
        <w:t>社会保险法》有关规定，及时办理基本医疗保险登记和申报手续。参保单位的登记事项发生变更或依法终止时，应当在变更或终止之日起30日内到医疗保险经办窗口办理变更或注销登记。</w:t>
      </w:r>
    </w:p>
    <w:p>
      <w:pPr>
        <w:keepNext w:val="0"/>
        <w:keepLines w:val="0"/>
        <w:pageBreakBefore w:val="0"/>
        <w:kinsoku/>
        <w:wordWrap/>
        <w:overflowPunct/>
        <w:topLinePunct w:val="0"/>
        <w:autoSpaceDE/>
        <w:autoSpaceDN/>
        <w:bidi w:val="0"/>
        <w:snapToGrid/>
        <w:spacing w:line="580" w:lineRule="exact"/>
        <w:ind w:firstLine="640" w:firstLineChars="200"/>
        <w:textAlignment w:val="auto"/>
        <w:rPr>
          <w:rFonts w:ascii="仿宋" w:hAnsi="仿宋" w:eastAsia="仿宋"/>
          <w:color w:val="auto"/>
          <w:sz w:val="32"/>
          <w:szCs w:val="32"/>
        </w:rPr>
      </w:pPr>
      <w:r>
        <w:rPr>
          <w:rFonts w:hint="eastAsia" w:ascii="黑体" w:hAnsi="黑体" w:eastAsia="黑体"/>
          <w:color w:val="auto"/>
          <w:sz w:val="32"/>
          <w:szCs w:val="32"/>
        </w:rPr>
        <w:t>第</w:t>
      </w:r>
      <w:r>
        <w:rPr>
          <w:rFonts w:hint="eastAsia" w:ascii="黑体" w:hAnsi="黑体" w:eastAsia="黑体"/>
          <w:color w:val="auto"/>
          <w:sz w:val="32"/>
          <w:szCs w:val="32"/>
          <w:lang w:eastAsia="zh-CN"/>
        </w:rPr>
        <w:t>八</w:t>
      </w:r>
      <w:r>
        <w:rPr>
          <w:rFonts w:hint="eastAsia" w:ascii="黑体" w:hAnsi="黑体" w:eastAsia="黑体"/>
          <w:color w:val="auto"/>
          <w:sz w:val="32"/>
          <w:szCs w:val="32"/>
        </w:rPr>
        <w:t>条</w:t>
      </w:r>
      <w:r>
        <w:rPr>
          <w:rFonts w:hint="eastAsia" w:ascii="仿宋" w:hAnsi="仿宋" w:eastAsia="仿宋"/>
          <w:color w:val="auto"/>
          <w:sz w:val="32"/>
          <w:szCs w:val="32"/>
        </w:rPr>
        <w:t xml:space="preserve">  参保单位合并、分立或转制的，接收或继承单位必须及时到医疗保险经办窗口办理有关变更手续并清偿欠缴的基本医疗保险费、利息及滞纳金。</w:t>
      </w:r>
      <w:r>
        <w:rPr>
          <w:rFonts w:hint="eastAsia" w:ascii="仿宋" w:hAnsi="仿宋" w:eastAsia="仿宋"/>
          <w:color w:val="auto"/>
          <w:sz w:val="32"/>
          <w:szCs w:val="32"/>
          <w:lang w:eastAsia="zh-CN"/>
        </w:rPr>
        <w:t>按照</w:t>
      </w:r>
      <w:r>
        <w:rPr>
          <w:rFonts w:hint="eastAsia" w:ascii="仿宋" w:hAnsi="仿宋" w:eastAsia="仿宋"/>
          <w:color w:val="auto"/>
          <w:sz w:val="32"/>
          <w:szCs w:val="32"/>
        </w:rPr>
        <w:t>《</w:t>
      </w:r>
      <w:r>
        <w:rPr>
          <w:rFonts w:hint="eastAsia" w:ascii="仿宋" w:hAnsi="仿宋" w:eastAsia="仿宋"/>
          <w:color w:val="auto"/>
          <w:sz w:val="32"/>
          <w:szCs w:val="32"/>
          <w:lang w:eastAsia="zh-CN"/>
        </w:rPr>
        <w:t>中华人民共和国</w:t>
      </w:r>
      <w:r>
        <w:rPr>
          <w:rFonts w:hint="eastAsia" w:ascii="仿宋" w:hAnsi="仿宋" w:eastAsia="仿宋"/>
          <w:color w:val="auto"/>
          <w:sz w:val="32"/>
          <w:szCs w:val="32"/>
        </w:rPr>
        <w:t>社会保险法》</w:t>
      </w:r>
      <w:r>
        <w:rPr>
          <w:rFonts w:hint="eastAsia" w:ascii="仿宋" w:hAnsi="仿宋" w:eastAsia="仿宋"/>
          <w:color w:val="auto"/>
          <w:sz w:val="32"/>
          <w:szCs w:val="32"/>
          <w:lang w:eastAsia="zh-CN"/>
        </w:rPr>
        <w:t>有关</w:t>
      </w:r>
      <w:r>
        <w:rPr>
          <w:rFonts w:hint="eastAsia" w:ascii="仿宋" w:hAnsi="仿宋" w:eastAsia="仿宋"/>
          <w:color w:val="auto"/>
          <w:sz w:val="32"/>
          <w:szCs w:val="32"/>
        </w:rPr>
        <w:t>规定</w:t>
      </w:r>
      <w:r>
        <w:rPr>
          <w:rFonts w:hint="eastAsia" w:ascii="仿宋" w:hAnsi="仿宋" w:eastAsia="仿宋"/>
          <w:color w:val="auto"/>
          <w:sz w:val="32"/>
          <w:szCs w:val="32"/>
          <w:lang w:eastAsia="zh-CN"/>
        </w:rPr>
        <w:t>，</w:t>
      </w:r>
      <w:r>
        <w:rPr>
          <w:rFonts w:hint="eastAsia" w:ascii="仿宋" w:hAnsi="仿宋" w:eastAsia="仿宋"/>
          <w:color w:val="auto"/>
          <w:sz w:val="32"/>
          <w:szCs w:val="32"/>
        </w:rPr>
        <w:t>从欠缴之日起，按日加收万分之五的滞纳金。滞纳</w:t>
      </w:r>
      <w:r>
        <w:rPr>
          <w:rFonts w:hint="eastAsia" w:ascii="仿宋" w:hAnsi="仿宋" w:eastAsia="仿宋"/>
          <w:color w:val="auto"/>
          <w:spacing w:val="-6"/>
          <w:sz w:val="32"/>
          <w:szCs w:val="32"/>
        </w:rPr>
        <w:t>金并入基本医疗保险基金。滞纳金由接收单位或继承单位交纳。</w:t>
      </w:r>
    </w:p>
    <w:p>
      <w:pPr>
        <w:keepNext w:val="0"/>
        <w:keepLines w:val="0"/>
        <w:pageBreakBefore w:val="0"/>
        <w:kinsoku/>
        <w:wordWrap/>
        <w:overflowPunct/>
        <w:topLinePunct w:val="0"/>
        <w:autoSpaceDE/>
        <w:autoSpaceDN/>
        <w:bidi w:val="0"/>
        <w:snapToGrid/>
        <w:spacing w:line="580" w:lineRule="exact"/>
        <w:ind w:firstLine="640" w:firstLineChars="200"/>
        <w:textAlignment w:val="auto"/>
        <w:rPr>
          <w:rFonts w:ascii="仿宋" w:hAnsi="仿宋" w:eastAsia="仿宋"/>
          <w:color w:val="auto"/>
          <w:sz w:val="32"/>
          <w:szCs w:val="32"/>
        </w:rPr>
      </w:pPr>
      <w:r>
        <w:rPr>
          <w:rFonts w:hint="eastAsia" w:ascii="黑体" w:hAnsi="黑体" w:eastAsia="黑体"/>
          <w:color w:val="auto"/>
          <w:sz w:val="32"/>
          <w:szCs w:val="32"/>
        </w:rPr>
        <w:t>第</w:t>
      </w:r>
      <w:r>
        <w:rPr>
          <w:rFonts w:hint="eastAsia" w:ascii="黑体" w:hAnsi="黑体" w:eastAsia="黑体"/>
          <w:color w:val="auto"/>
          <w:sz w:val="32"/>
          <w:szCs w:val="32"/>
          <w:lang w:eastAsia="zh-CN"/>
        </w:rPr>
        <w:t>九</w:t>
      </w:r>
      <w:r>
        <w:rPr>
          <w:rFonts w:hint="eastAsia" w:ascii="黑体" w:hAnsi="黑体" w:eastAsia="黑体"/>
          <w:color w:val="auto"/>
          <w:sz w:val="32"/>
          <w:szCs w:val="32"/>
        </w:rPr>
        <w:t>条</w:t>
      </w:r>
      <w:r>
        <w:rPr>
          <w:rFonts w:hint="eastAsia" w:ascii="仿宋" w:hAnsi="仿宋" w:eastAsia="仿宋"/>
          <w:color w:val="auto"/>
          <w:sz w:val="32"/>
          <w:szCs w:val="32"/>
        </w:rPr>
        <w:t xml:space="preserve">  参保人员因工作调动、死亡</w:t>
      </w:r>
      <w:r>
        <w:rPr>
          <w:rFonts w:hint="eastAsia" w:ascii="仿宋" w:hAnsi="仿宋" w:eastAsia="仿宋"/>
          <w:color w:val="auto"/>
          <w:sz w:val="32"/>
          <w:szCs w:val="32"/>
          <w:lang w:eastAsia="zh-CN"/>
        </w:rPr>
        <w:t>或</w:t>
      </w:r>
      <w:r>
        <w:rPr>
          <w:rFonts w:hint="eastAsia" w:ascii="仿宋" w:hAnsi="仿宋" w:eastAsia="仿宋"/>
          <w:color w:val="auto"/>
          <w:sz w:val="32"/>
          <w:szCs w:val="32"/>
        </w:rPr>
        <w:t>与</w:t>
      </w:r>
      <w:r>
        <w:rPr>
          <w:rFonts w:hint="eastAsia" w:ascii="仿宋" w:hAnsi="仿宋" w:eastAsia="仿宋"/>
          <w:color w:val="auto"/>
          <w:sz w:val="32"/>
          <w:szCs w:val="32"/>
          <w:lang w:eastAsia="zh-CN"/>
        </w:rPr>
        <w:t>参保单位</w:t>
      </w:r>
      <w:r>
        <w:rPr>
          <w:rFonts w:hint="eastAsia" w:ascii="仿宋" w:hAnsi="仿宋" w:eastAsia="仿宋"/>
          <w:color w:val="auto"/>
          <w:sz w:val="32"/>
          <w:szCs w:val="32"/>
        </w:rPr>
        <w:t>终止劳动关系，应缴清其应缴纳的基本医疗保险费用，并在30日内到医疗保险经办窗口办理转移、注销等手续。如不按时办理所发生的医疗费用全部由原单位承担。</w:t>
      </w:r>
    </w:p>
    <w:p>
      <w:pPr>
        <w:keepNext w:val="0"/>
        <w:keepLines w:val="0"/>
        <w:pageBreakBefore w:val="0"/>
        <w:kinsoku/>
        <w:wordWrap/>
        <w:overflowPunct/>
        <w:topLinePunct w:val="0"/>
        <w:autoSpaceDE/>
        <w:autoSpaceDN/>
        <w:bidi w:val="0"/>
        <w:snapToGrid/>
        <w:spacing w:line="580" w:lineRule="exact"/>
        <w:ind w:firstLine="640" w:firstLineChars="200"/>
        <w:textAlignment w:val="auto"/>
        <w:rPr>
          <w:rFonts w:ascii="仿宋" w:hAnsi="仿宋" w:eastAsia="仿宋"/>
          <w:color w:val="auto"/>
          <w:sz w:val="32"/>
          <w:szCs w:val="32"/>
        </w:rPr>
      </w:pPr>
      <w:r>
        <w:rPr>
          <w:rFonts w:hint="eastAsia" w:ascii="黑体" w:hAnsi="黑体" w:eastAsia="黑体"/>
          <w:color w:val="auto"/>
          <w:sz w:val="32"/>
          <w:szCs w:val="32"/>
        </w:rPr>
        <w:t>第十条</w:t>
      </w:r>
      <w:r>
        <w:rPr>
          <w:rFonts w:hint="eastAsia" w:ascii="仿宋" w:hAnsi="仿宋" w:eastAsia="仿宋"/>
          <w:color w:val="auto"/>
          <w:sz w:val="32"/>
          <w:szCs w:val="32"/>
        </w:rPr>
        <w:t xml:space="preserve">  基本医疗保险费不得减免，任何单位和个人不得以任何理由拒缴或少缴。</w:t>
      </w:r>
    </w:p>
    <w:p>
      <w:pPr>
        <w:keepNext w:val="0"/>
        <w:keepLines w:val="0"/>
        <w:pageBreakBefore w:val="0"/>
        <w:kinsoku/>
        <w:wordWrap/>
        <w:overflowPunct/>
        <w:topLinePunct w:val="0"/>
        <w:autoSpaceDE/>
        <w:autoSpaceDN/>
        <w:bidi w:val="0"/>
        <w:snapToGrid/>
        <w:spacing w:line="580" w:lineRule="exact"/>
        <w:ind w:firstLine="640" w:firstLineChars="200"/>
        <w:textAlignment w:val="auto"/>
        <w:rPr>
          <w:rFonts w:ascii="仿宋" w:hAnsi="仿宋" w:eastAsia="仿宋"/>
          <w:color w:val="auto"/>
          <w:sz w:val="32"/>
          <w:szCs w:val="32"/>
        </w:rPr>
      </w:pPr>
      <w:r>
        <w:rPr>
          <w:rFonts w:hint="eastAsia" w:ascii="黑体" w:hAnsi="黑体" w:eastAsia="黑体"/>
          <w:color w:val="auto"/>
          <w:sz w:val="32"/>
          <w:szCs w:val="32"/>
        </w:rPr>
        <w:t>第十</w:t>
      </w:r>
      <w:r>
        <w:rPr>
          <w:rFonts w:hint="eastAsia" w:ascii="黑体" w:hAnsi="黑体" w:eastAsia="黑体"/>
          <w:color w:val="auto"/>
          <w:sz w:val="32"/>
          <w:szCs w:val="32"/>
          <w:lang w:eastAsia="zh-CN"/>
        </w:rPr>
        <w:t>一</w:t>
      </w:r>
      <w:r>
        <w:rPr>
          <w:rFonts w:hint="eastAsia" w:ascii="黑体" w:hAnsi="黑体" w:eastAsia="黑体"/>
          <w:color w:val="auto"/>
          <w:sz w:val="32"/>
          <w:szCs w:val="32"/>
        </w:rPr>
        <w:t>条</w:t>
      </w:r>
      <w:r>
        <w:rPr>
          <w:rFonts w:hint="eastAsia" w:ascii="仿宋" w:hAnsi="仿宋" w:eastAsia="仿宋"/>
          <w:color w:val="auto"/>
          <w:sz w:val="32"/>
          <w:szCs w:val="32"/>
        </w:rPr>
        <w:t xml:space="preserve">  基本医疗保险实行社会统筹和个人账户相结合</w:t>
      </w:r>
      <w:r>
        <w:rPr>
          <w:rFonts w:hint="eastAsia" w:ascii="仿宋" w:hAnsi="仿宋" w:eastAsia="仿宋"/>
          <w:color w:val="auto"/>
          <w:sz w:val="32"/>
          <w:szCs w:val="32"/>
          <w:lang w:eastAsia="zh-CN"/>
        </w:rPr>
        <w:t>的方式</w:t>
      </w:r>
      <w:r>
        <w:rPr>
          <w:rFonts w:hint="eastAsia" w:ascii="仿宋" w:hAnsi="仿宋" w:eastAsia="仿宋"/>
          <w:color w:val="auto"/>
          <w:sz w:val="32"/>
          <w:szCs w:val="32"/>
        </w:rPr>
        <w:t>。参保人员缴纳的基本医疗保险费全部计入个人账户</w:t>
      </w:r>
      <w:r>
        <w:rPr>
          <w:rFonts w:hint="eastAsia" w:ascii="仿宋" w:hAnsi="仿宋" w:eastAsia="仿宋"/>
          <w:color w:val="auto"/>
          <w:sz w:val="32"/>
          <w:szCs w:val="32"/>
          <w:lang w:eastAsia="zh-CN"/>
        </w:rPr>
        <w:t>，</w:t>
      </w:r>
      <w:r>
        <w:rPr>
          <w:rFonts w:hint="eastAsia" w:ascii="仿宋" w:hAnsi="仿宋" w:eastAsia="仿宋"/>
          <w:color w:val="auto"/>
          <w:sz w:val="32"/>
          <w:szCs w:val="32"/>
        </w:rPr>
        <w:t>参保单位缴纳的基本医疗保险费全部用于建立统筹基金。</w:t>
      </w:r>
    </w:p>
    <w:p>
      <w:pPr>
        <w:keepNext w:val="0"/>
        <w:keepLines w:val="0"/>
        <w:pageBreakBefore w:val="0"/>
        <w:kinsoku/>
        <w:wordWrap/>
        <w:overflowPunct/>
        <w:topLinePunct w:val="0"/>
        <w:autoSpaceDE/>
        <w:autoSpaceDN/>
        <w:bidi w:val="0"/>
        <w:snapToGrid/>
        <w:spacing w:line="580" w:lineRule="exact"/>
        <w:ind w:firstLine="640" w:firstLineChars="200"/>
        <w:textAlignment w:val="auto"/>
        <w:rPr>
          <w:rFonts w:ascii="仿宋" w:hAnsi="仿宋" w:eastAsia="仿宋"/>
          <w:color w:val="auto"/>
          <w:sz w:val="32"/>
          <w:szCs w:val="32"/>
        </w:rPr>
      </w:pPr>
      <w:r>
        <w:rPr>
          <w:rFonts w:hint="eastAsia" w:ascii="黑体" w:hAnsi="黑体" w:eastAsia="黑体"/>
          <w:color w:val="auto"/>
          <w:sz w:val="32"/>
          <w:szCs w:val="32"/>
        </w:rPr>
        <w:t>第十</w:t>
      </w:r>
      <w:r>
        <w:rPr>
          <w:rFonts w:hint="eastAsia" w:ascii="黑体" w:hAnsi="黑体" w:eastAsia="黑体"/>
          <w:color w:val="auto"/>
          <w:sz w:val="32"/>
          <w:szCs w:val="32"/>
          <w:lang w:eastAsia="zh-CN"/>
        </w:rPr>
        <w:t>二</w:t>
      </w:r>
      <w:r>
        <w:rPr>
          <w:rFonts w:hint="eastAsia" w:ascii="黑体" w:hAnsi="黑体" w:eastAsia="黑体"/>
          <w:color w:val="auto"/>
          <w:sz w:val="32"/>
          <w:szCs w:val="32"/>
        </w:rPr>
        <w:t>条</w:t>
      </w:r>
      <w:r>
        <w:rPr>
          <w:rFonts w:hint="eastAsia" w:ascii="仿宋" w:hAnsi="仿宋" w:eastAsia="仿宋"/>
          <w:color w:val="auto"/>
          <w:sz w:val="32"/>
          <w:szCs w:val="32"/>
        </w:rPr>
        <w:t xml:space="preserve">  在职职工个人账户，按照本人参保缴费基数2%缴纳的基本医疗保险费计入。退休人员个人账户，以2021年全区平均基本养老金为基数</w:t>
      </w:r>
      <w:r>
        <w:rPr>
          <w:rFonts w:hint="eastAsia" w:ascii="仿宋" w:hAnsi="仿宋" w:eastAsia="仿宋"/>
          <w:color w:val="auto"/>
          <w:sz w:val="32"/>
          <w:szCs w:val="32"/>
          <w:lang w:eastAsia="zh-CN"/>
        </w:rPr>
        <w:t>，</w:t>
      </w:r>
      <w:r>
        <w:rPr>
          <w:rFonts w:hint="eastAsia" w:ascii="仿宋" w:hAnsi="仿宋" w:eastAsia="仿宋"/>
          <w:color w:val="auto"/>
          <w:sz w:val="32"/>
          <w:szCs w:val="32"/>
        </w:rPr>
        <w:t>按照2%比例定额划入个人账户。</w:t>
      </w:r>
    </w:p>
    <w:p>
      <w:pPr>
        <w:keepNext w:val="0"/>
        <w:keepLines w:val="0"/>
        <w:pageBreakBefore w:val="0"/>
        <w:kinsoku/>
        <w:wordWrap/>
        <w:overflowPunct/>
        <w:topLinePunct w:val="0"/>
        <w:autoSpaceDE/>
        <w:autoSpaceDN/>
        <w:bidi w:val="0"/>
        <w:snapToGrid/>
        <w:spacing w:line="580" w:lineRule="exact"/>
        <w:ind w:firstLine="640" w:firstLineChars="200"/>
        <w:textAlignment w:val="auto"/>
        <w:rPr>
          <w:rFonts w:ascii="仿宋" w:hAnsi="仿宋" w:eastAsia="仿宋"/>
          <w:color w:val="auto"/>
          <w:sz w:val="32"/>
          <w:szCs w:val="32"/>
        </w:rPr>
      </w:pPr>
      <w:r>
        <w:rPr>
          <w:rFonts w:hint="eastAsia" w:ascii="黑体" w:hAnsi="黑体" w:eastAsia="黑体"/>
          <w:color w:val="auto"/>
          <w:sz w:val="32"/>
          <w:szCs w:val="32"/>
        </w:rPr>
        <w:t>第十</w:t>
      </w:r>
      <w:r>
        <w:rPr>
          <w:rFonts w:hint="eastAsia" w:ascii="黑体" w:hAnsi="黑体" w:eastAsia="黑体"/>
          <w:color w:val="auto"/>
          <w:sz w:val="32"/>
          <w:szCs w:val="32"/>
          <w:lang w:eastAsia="zh-CN"/>
        </w:rPr>
        <w:t>三</w:t>
      </w:r>
      <w:r>
        <w:rPr>
          <w:rFonts w:hint="eastAsia" w:ascii="黑体" w:hAnsi="黑体" w:eastAsia="黑体"/>
          <w:color w:val="auto"/>
          <w:sz w:val="32"/>
          <w:szCs w:val="32"/>
        </w:rPr>
        <w:t>条</w:t>
      </w:r>
      <w:r>
        <w:rPr>
          <w:rFonts w:hint="eastAsia" w:ascii="仿宋" w:hAnsi="仿宋" w:eastAsia="仿宋"/>
          <w:color w:val="auto"/>
          <w:sz w:val="32"/>
          <w:szCs w:val="32"/>
        </w:rPr>
        <w:t xml:space="preserve">  基本医疗保险统筹基金和个人账户要划分各自的支付范围，</w:t>
      </w:r>
      <w:r>
        <w:rPr>
          <w:rFonts w:hint="eastAsia" w:ascii="仿宋" w:hAnsi="仿宋" w:eastAsia="仿宋"/>
          <w:color w:val="auto"/>
          <w:sz w:val="32"/>
          <w:szCs w:val="32"/>
          <w:lang w:eastAsia="zh-CN"/>
        </w:rPr>
        <w:t>按照</w:t>
      </w:r>
      <w:r>
        <w:rPr>
          <w:rFonts w:hint="eastAsia" w:ascii="仿宋" w:hAnsi="仿宋" w:eastAsia="仿宋"/>
          <w:color w:val="auto"/>
          <w:sz w:val="32"/>
          <w:szCs w:val="32"/>
        </w:rPr>
        <w:t>以收定支、收支平衡、略有节余的原则，分开管理、分别核算，不得相互挤占。</w:t>
      </w:r>
    </w:p>
    <w:p>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eastAsia" w:ascii="仿宋" w:hAnsi="仿宋" w:eastAsia="仿宋"/>
          <w:color w:val="auto"/>
          <w:sz w:val="32"/>
          <w:szCs w:val="32"/>
          <w:lang w:eastAsia="zh-CN"/>
        </w:rPr>
      </w:pPr>
      <w:r>
        <w:rPr>
          <w:rFonts w:hint="eastAsia" w:ascii="黑体" w:hAnsi="黑体" w:eastAsia="黑体"/>
          <w:color w:val="auto"/>
          <w:sz w:val="32"/>
          <w:szCs w:val="32"/>
        </w:rPr>
        <w:t>第十</w:t>
      </w:r>
      <w:r>
        <w:rPr>
          <w:rFonts w:hint="eastAsia" w:ascii="黑体" w:hAnsi="黑体" w:eastAsia="黑体"/>
          <w:color w:val="auto"/>
          <w:sz w:val="32"/>
          <w:szCs w:val="32"/>
          <w:lang w:eastAsia="zh-CN"/>
        </w:rPr>
        <w:t>四</w:t>
      </w:r>
      <w:r>
        <w:rPr>
          <w:rFonts w:hint="eastAsia" w:ascii="黑体" w:hAnsi="黑体" w:eastAsia="黑体"/>
          <w:color w:val="auto"/>
          <w:sz w:val="32"/>
          <w:szCs w:val="32"/>
        </w:rPr>
        <w:t>条</w:t>
      </w:r>
      <w:r>
        <w:rPr>
          <w:rFonts w:hint="eastAsia" w:ascii="仿宋" w:hAnsi="仿宋" w:eastAsia="仿宋"/>
          <w:color w:val="auto"/>
          <w:sz w:val="32"/>
          <w:szCs w:val="32"/>
        </w:rPr>
        <w:t xml:space="preserve">  个人账户主要用于支付</w:t>
      </w:r>
      <w:r>
        <w:rPr>
          <w:rFonts w:hint="eastAsia" w:ascii="仿宋" w:hAnsi="仿宋" w:eastAsia="仿宋"/>
          <w:color w:val="auto"/>
          <w:sz w:val="32"/>
          <w:szCs w:val="32"/>
          <w:lang w:eastAsia="zh-CN"/>
        </w:rPr>
        <w:t>：</w:t>
      </w:r>
    </w:p>
    <w:p>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eastAsia" w:ascii="仿宋" w:hAnsi="仿宋" w:eastAsia="仿宋"/>
          <w:color w:val="auto"/>
          <w:sz w:val="32"/>
          <w:szCs w:val="32"/>
          <w:lang w:eastAsia="zh-CN"/>
        </w:rPr>
      </w:pPr>
      <w:r>
        <w:rPr>
          <w:rFonts w:hint="default" w:ascii="仿宋" w:hAnsi="仿宋" w:eastAsia="仿宋"/>
          <w:color w:val="auto"/>
          <w:sz w:val="32"/>
          <w:szCs w:val="32"/>
          <w:lang w:val="en"/>
        </w:rPr>
        <w:t>（</w:t>
      </w:r>
      <w:r>
        <w:rPr>
          <w:rFonts w:hint="eastAsia" w:ascii="仿宋" w:hAnsi="仿宋" w:eastAsia="仿宋"/>
          <w:color w:val="auto"/>
          <w:sz w:val="32"/>
          <w:szCs w:val="32"/>
        </w:rPr>
        <w:t>一</w:t>
      </w:r>
      <w:r>
        <w:rPr>
          <w:rFonts w:hint="eastAsia" w:ascii="仿宋" w:hAnsi="仿宋" w:eastAsia="仿宋"/>
          <w:color w:val="auto"/>
          <w:sz w:val="32"/>
          <w:szCs w:val="32"/>
          <w:lang w:eastAsia="zh-CN"/>
        </w:rPr>
        <w:t>）</w:t>
      </w:r>
      <w:r>
        <w:rPr>
          <w:rFonts w:hint="eastAsia" w:ascii="仿宋" w:hAnsi="仿宋" w:eastAsia="仿宋"/>
          <w:color w:val="auto"/>
          <w:sz w:val="32"/>
          <w:szCs w:val="32"/>
        </w:rPr>
        <w:t>在定点医药机构发生的符合有关政策规定范围内的医药费用</w:t>
      </w:r>
      <w:r>
        <w:rPr>
          <w:rFonts w:hint="eastAsia" w:ascii="仿宋" w:hAnsi="仿宋" w:eastAsia="仿宋"/>
          <w:color w:val="auto"/>
          <w:sz w:val="32"/>
          <w:szCs w:val="32"/>
          <w:lang w:eastAsia="zh-CN"/>
        </w:rPr>
        <w:t>；</w:t>
      </w:r>
    </w:p>
    <w:p>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eastAsia" w:ascii="仿宋" w:hAnsi="仿宋" w:eastAsia="仿宋"/>
          <w:color w:val="auto"/>
          <w:sz w:val="32"/>
          <w:szCs w:val="32"/>
          <w:lang w:eastAsia="zh-CN"/>
        </w:rPr>
      </w:pPr>
      <w:r>
        <w:rPr>
          <w:rFonts w:hint="default" w:ascii="仿宋" w:hAnsi="仿宋" w:eastAsia="仿宋"/>
          <w:color w:val="auto"/>
          <w:sz w:val="32"/>
          <w:szCs w:val="32"/>
          <w:lang w:val="en"/>
        </w:rPr>
        <w:t>（</w:t>
      </w:r>
      <w:r>
        <w:rPr>
          <w:rFonts w:hint="eastAsia" w:ascii="仿宋" w:hAnsi="仿宋" w:eastAsia="仿宋"/>
          <w:color w:val="auto"/>
          <w:sz w:val="32"/>
          <w:szCs w:val="32"/>
        </w:rPr>
        <w:t>二</w:t>
      </w:r>
      <w:r>
        <w:rPr>
          <w:rFonts w:hint="eastAsia" w:ascii="仿宋" w:hAnsi="仿宋" w:eastAsia="仿宋"/>
          <w:color w:val="auto"/>
          <w:sz w:val="32"/>
          <w:szCs w:val="32"/>
          <w:lang w:eastAsia="zh-CN"/>
        </w:rPr>
        <w:t>）</w:t>
      </w:r>
      <w:r>
        <w:rPr>
          <w:rFonts w:hint="eastAsia" w:ascii="仿宋" w:hAnsi="仿宋" w:eastAsia="仿宋"/>
          <w:color w:val="auto"/>
          <w:sz w:val="32"/>
          <w:szCs w:val="32"/>
        </w:rPr>
        <w:t>统筹基金起付标准以下的医疗费用</w:t>
      </w:r>
      <w:r>
        <w:rPr>
          <w:rFonts w:hint="eastAsia" w:ascii="仿宋" w:hAnsi="仿宋" w:eastAsia="仿宋"/>
          <w:color w:val="auto"/>
          <w:sz w:val="32"/>
          <w:szCs w:val="32"/>
          <w:lang w:eastAsia="zh-CN"/>
        </w:rPr>
        <w:t>；</w:t>
      </w:r>
    </w:p>
    <w:p>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eastAsia" w:ascii="仿宋" w:hAnsi="仿宋" w:eastAsia="仿宋"/>
          <w:color w:val="auto"/>
          <w:sz w:val="32"/>
          <w:szCs w:val="32"/>
          <w:lang w:eastAsia="zh-CN"/>
        </w:rPr>
      </w:pPr>
      <w:r>
        <w:rPr>
          <w:rFonts w:hint="default" w:ascii="仿宋" w:hAnsi="仿宋" w:eastAsia="仿宋"/>
          <w:color w:val="auto"/>
          <w:sz w:val="32"/>
          <w:szCs w:val="32"/>
          <w:lang w:val="en"/>
        </w:rPr>
        <w:t>（</w:t>
      </w:r>
      <w:r>
        <w:rPr>
          <w:rFonts w:hint="eastAsia" w:ascii="仿宋" w:hAnsi="仿宋" w:eastAsia="仿宋"/>
          <w:color w:val="auto"/>
          <w:sz w:val="32"/>
          <w:szCs w:val="32"/>
        </w:rPr>
        <w:t>三</w:t>
      </w:r>
      <w:r>
        <w:rPr>
          <w:rFonts w:hint="eastAsia" w:ascii="仿宋" w:hAnsi="仿宋" w:eastAsia="仿宋"/>
          <w:color w:val="auto"/>
          <w:sz w:val="32"/>
          <w:szCs w:val="32"/>
          <w:lang w:eastAsia="zh-CN"/>
        </w:rPr>
        <w:t>）</w:t>
      </w:r>
      <w:r>
        <w:rPr>
          <w:rFonts w:hint="eastAsia" w:ascii="仿宋" w:hAnsi="仿宋" w:eastAsia="仿宋"/>
          <w:color w:val="auto"/>
          <w:sz w:val="32"/>
          <w:szCs w:val="32"/>
        </w:rPr>
        <w:t>统筹基金起付标准以上、最高支付限额以下由个人负担的医疗费</w:t>
      </w:r>
      <w:r>
        <w:rPr>
          <w:rFonts w:hint="eastAsia" w:ascii="仿宋" w:hAnsi="仿宋" w:eastAsia="仿宋"/>
          <w:color w:val="auto"/>
          <w:sz w:val="32"/>
          <w:szCs w:val="32"/>
          <w:lang w:eastAsia="zh-CN"/>
        </w:rPr>
        <w:t>。</w:t>
      </w:r>
      <w:r>
        <w:rPr>
          <w:rFonts w:hint="eastAsia" w:ascii="仿宋" w:hAnsi="仿宋" w:eastAsia="仿宋"/>
          <w:color w:val="auto"/>
          <w:sz w:val="32"/>
          <w:szCs w:val="32"/>
        </w:rPr>
        <w:t>个人账户不足支付的部分，由本人现金自付</w:t>
      </w:r>
      <w:r>
        <w:rPr>
          <w:rFonts w:hint="eastAsia" w:ascii="仿宋" w:hAnsi="仿宋" w:eastAsia="仿宋"/>
          <w:color w:val="auto"/>
          <w:sz w:val="32"/>
          <w:szCs w:val="32"/>
          <w:lang w:eastAsia="zh-CN"/>
        </w:rPr>
        <w:t>；</w:t>
      </w:r>
    </w:p>
    <w:p>
      <w:pPr>
        <w:keepNext w:val="0"/>
        <w:keepLines w:val="0"/>
        <w:pageBreakBefore w:val="0"/>
        <w:widowControl w:val="0"/>
        <w:kinsoku/>
        <w:wordWrap/>
        <w:overflowPunct/>
        <w:topLinePunct/>
        <w:autoSpaceDE/>
        <w:autoSpaceDN/>
        <w:bidi w:val="0"/>
        <w:adjustRightInd/>
        <w:snapToGrid/>
        <w:spacing w:line="580" w:lineRule="exact"/>
        <w:ind w:left="0" w:leftChars="0" w:firstLine="640" w:firstLineChars="200"/>
        <w:textAlignment w:val="auto"/>
        <w:rPr>
          <w:rFonts w:hint="eastAsia" w:ascii="仿宋" w:hAnsi="仿宋" w:eastAsia="仿宋"/>
          <w:color w:val="auto"/>
          <w:sz w:val="32"/>
          <w:szCs w:val="32"/>
          <w:lang w:val="en" w:eastAsia="zh-CN"/>
        </w:rPr>
      </w:pPr>
      <w:r>
        <w:rPr>
          <w:rFonts w:hint="default" w:ascii="仿宋" w:hAnsi="仿宋" w:eastAsia="仿宋"/>
          <w:color w:val="auto"/>
          <w:sz w:val="32"/>
          <w:szCs w:val="32"/>
          <w:lang w:val="en"/>
        </w:rPr>
        <w:t>（</w:t>
      </w:r>
      <w:r>
        <w:rPr>
          <w:rFonts w:hint="eastAsia" w:ascii="仿宋" w:hAnsi="仿宋" w:eastAsia="仿宋"/>
          <w:color w:val="auto"/>
          <w:sz w:val="32"/>
          <w:szCs w:val="32"/>
        </w:rPr>
        <w:t>四）国家、自治区规定的可用个人账户支付的其他费用。</w:t>
      </w:r>
    </w:p>
    <w:p>
      <w:pPr>
        <w:keepNext w:val="0"/>
        <w:keepLines w:val="0"/>
        <w:pageBreakBefore w:val="0"/>
        <w:kinsoku/>
        <w:wordWrap/>
        <w:overflowPunct/>
        <w:topLinePunct w:val="0"/>
        <w:autoSpaceDE/>
        <w:autoSpaceDN/>
        <w:bidi w:val="0"/>
        <w:snapToGrid/>
        <w:spacing w:line="580" w:lineRule="exact"/>
        <w:ind w:firstLine="640" w:firstLineChars="200"/>
        <w:textAlignment w:val="auto"/>
        <w:rPr>
          <w:rFonts w:ascii="仿宋" w:hAnsi="仿宋" w:eastAsia="仿宋"/>
          <w:color w:val="auto"/>
          <w:sz w:val="32"/>
          <w:szCs w:val="32"/>
        </w:rPr>
      </w:pPr>
      <w:r>
        <w:rPr>
          <w:rFonts w:hint="eastAsia" w:ascii="黑体" w:hAnsi="黑体" w:eastAsia="黑体"/>
          <w:color w:val="auto"/>
          <w:sz w:val="32"/>
          <w:szCs w:val="32"/>
        </w:rPr>
        <w:t>第十</w:t>
      </w:r>
      <w:r>
        <w:rPr>
          <w:rFonts w:hint="eastAsia" w:ascii="黑体" w:hAnsi="黑体" w:eastAsia="黑体"/>
          <w:color w:val="auto"/>
          <w:sz w:val="32"/>
          <w:szCs w:val="32"/>
          <w:lang w:eastAsia="zh-CN"/>
        </w:rPr>
        <w:t>五</w:t>
      </w:r>
      <w:r>
        <w:rPr>
          <w:rFonts w:hint="eastAsia" w:ascii="黑体" w:hAnsi="黑体" w:eastAsia="黑体"/>
          <w:color w:val="auto"/>
          <w:sz w:val="32"/>
          <w:szCs w:val="32"/>
        </w:rPr>
        <w:t>条</w:t>
      </w:r>
      <w:r>
        <w:rPr>
          <w:rFonts w:hint="eastAsia" w:ascii="仿宋" w:hAnsi="仿宋" w:eastAsia="仿宋"/>
          <w:color w:val="auto"/>
          <w:sz w:val="32"/>
          <w:szCs w:val="32"/>
        </w:rPr>
        <w:t xml:space="preserve">  统筹基金主要用于支付参保患者住院、紧急抢救、经批准的门诊特殊慢性病和门诊特殊用药、普通门诊统筹等符合有关政策规定范围内的医药费用。</w:t>
      </w:r>
    </w:p>
    <w:p>
      <w:pPr>
        <w:keepNext w:val="0"/>
        <w:keepLines w:val="0"/>
        <w:pageBreakBefore w:val="0"/>
        <w:kinsoku/>
        <w:wordWrap/>
        <w:overflowPunct/>
        <w:topLinePunct w:val="0"/>
        <w:autoSpaceDE/>
        <w:autoSpaceDN/>
        <w:bidi w:val="0"/>
        <w:snapToGrid/>
        <w:spacing w:line="580" w:lineRule="exact"/>
        <w:ind w:firstLine="640" w:firstLineChars="200"/>
        <w:textAlignment w:val="auto"/>
        <w:rPr>
          <w:rFonts w:ascii="仿宋" w:hAnsi="仿宋" w:eastAsia="仿宋"/>
          <w:color w:val="auto"/>
          <w:sz w:val="32"/>
          <w:szCs w:val="32"/>
        </w:rPr>
      </w:pPr>
      <w:r>
        <w:rPr>
          <w:rFonts w:hint="eastAsia" w:ascii="仿宋" w:hAnsi="仿宋" w:eastAsia="仿宋"/>
          <w:color w:val="auto"/>
          <w:sz w:val="32"/>
          <w:szCs w:val="32"/>
        </w:rPr>
        <w:t>超出自治区基本医疗保险用药范围、诊疗项目和医疗服务设施范围的费用，统筹基金不予支付。统筹基金一个年度内所能支付的医药费用最高限额为20.5万元。</w:t>
      </w:r>
    </w:p>
    <w:p>
      <w:pPr>
        <w:keepNext w:val="0"/>
        <w:keepLines w:val="0"/>
        <w:pageBreakBefore w:val="0"/>
        <w:kinsoku/>
        <w:wordWrap/>
        <w:overflowPunct/>
        <w:topLinePunct w:val="0"/>
        <w:autoSpaceDE/>
        <w:autoSpaceDN/>
        <w:bidi w:val="0"/>
        <w:snapToGrid/>
        <w:spacing w:line="580" w:lineRule="exact"/>
        <w:ind w:firstLine="640" w:firstLineChars="200"/>
        <w:textAlignment w:val="auto"/>
        <w:rPr>
          <w:rFonts w:ascii="仿宋" w:hAnsi="仿宋" w:eastAsia="仿宋"/>
          <w:color w:val="auto"/>
          <w:sz w:val="32"/>
          <w:szCs w:val="32"/>
        </w:rPr>
      </w:pPr>
      <w:r>
        <w:rPr>
          <w:rFonts w:hint="eastAsia" w:ascii="黑体" w:hAnsi="黑体" w:eastAsia="黑体"/>
          <w:color w:val="auto"/>
          <w:sz w:val="32"/>
          <w:szCs w:val="32"/>
        </w:rPr>
        <w:t>第十</w:t>
      </w:r>
      <w:r>
        <w:rPr>
          <w:rFonts w:hint="eastAsia" w:ascii="黑体" w:hAnsi="黑体" w:eastAsia="黑体"/>
          <w:color w:val="auto"/>
          <w:sz w:val="32"/>
          <w:szCs w:val="32"/>
          <w:lang w:eastAsia="zh-CN"/>
        </w:rPr>
        <w:t>六</w:t>
      </w:r>
      <w:r>
        <w:rPr>
          <w:rFonts w:hint="eastAsia" w:ascii="黑体" w:hAnsi="黑体" w:eastAsia="黑体"/>
          <w:color w:val="auto"/>
          <w:sz w:val="32"/>
          <w:szCs w:val="32"/>
        </w:rPr>
        <w:t>条</w:t>
      </w:r>
      <w:r>
        <w:rPr>
          <w:rFonts w:hint="eastAsia" w:ascii="仿宋" w:hAnsi="仿宋" w:eastAsia="仿宋"/>
          <w:color w:val="auto"/>
          <w:sz w:val="32"/>
          <w:szCs w:val="32"/>
        </w:rPr>
        <w:t xml:space="preserve">  参保人员在定点医疗机构一年内首次住院或紧急抢救，统筹基金起付标准</w:t>
      </w:r>
      <w:r>
        <w:rPr>
          <w:rFonts w:hint="eastAsia" w:ascii="仿宋" w:hAnsi="仿宋" w:eastAsia="仿宋"/>
          <w:color w:val="auto"/>
          <w:spacing w:val="6"/>
          <w:sz w:val="32"/>
          <w:szCs w:val="32"/>
        </w:rPr>
        <w:t>为</w:t>
      </w:r>
      <w:r>
        <w:rPr>
          <w:rFonts w:hint="default" w:ascii="仿宋" w:hAnsi="仿宋" w:eastAsia="仿宋"/>
          <w:color w:val="auto"/>
          <w:spacing w:val="6"/>
          <w:sz w:val="32"/>
          <w:szCs w:val="32"/>
          <w:lang w:val="en"/>
        </w:rPr>
        <w:t>：</w:t>
      </w:r>
      <w:r>
        <w:rPr>
          <w:rFonts w:hint="eastAsia" w:ascii="仿宋" w:hAnsi="仿宋" w:eastAsia="仿宋"/>
          <w:color w:val="auto"/>
          <w:spacing w:val="6"/>
          <w:sz w:val="32"/>
          <w:szCs w:val="32"/>
        </w:rPr>
        <w:t>三级甲等、特等医院为600</w:t>
      </w:r>
      <w:r>
        <w:rPr>
          <w:rFonts w:hint="eastAsia" w:ascii="仿宋" w:hAnsi="仿宋" w:eastAsia="仿宋"/>
          <w:color w:val="auto"/>
          <w:sz w:val="32"/>
          <w:szCs w:val="32"/>
        </w:rPr>
        <w:t>元，三级乙等、丙等、无等医院为400元，二级甲等及以下医院为300元。</w:t>
      </w:r>
      <w:r>
        <w:rPr>
          <w:rFonts w:hint="eastAsia" w:ascii="仿宋" w:hAnsi="仿宋" w:eastAsia="仿宋"/>
          <w:color w:val="auto"/>
          <w:spacing w:val="-6"/>
          <w:sz w:val="32"/>
          <w:szCs w:val="32"/>
        </w:rPr>
        <w:t>一年内多次住院者，从第二次住院起付标准在首次住院起付标准的基础上依次降低20%，但最低分别不得低于400、300、200元。</w:t>
      </w:r>
    </w:p>
    <w:p>
      <w:pPr>
        <w:keepNext w:val="0"/>
        <w:keepLines w:val="0"/>
        <w:pageBreakBefore w:val="0"/>
        <w:kinsoku/>
        <w:wordWrap/>
        <w:overflowPunct/>
        <w:topLinePunct w:val="0"/>
        <w:autoSpaceDE/>
        <w:autoSpaceDN/>
        <w:bidi w:val="0"/>
        <w:snapToGrid/>
        <w:spacing w:line="580" w:lineRule="exact"/>
        <w:ind w:firstLine="640" w:firstLineChars="200"/>
        <w:textAlignment w:val="auto"/>
        <w:rPr>
          <w:rFonts w:ascii="仿宋" w:hAnsi="仿宋" w:eastAsia="仿宋"/>
          <w:color w:val="auto"/>
          <w:sz w:val="32"/>
          <w:szCs w:val="32"/>
        </w:rPr>
      </w:pPr>
      <w:r>
        <w:rPr>
          <w:rFonts w:hint="eastAsia" w:ascii="仿宋" w:hAnsi="仿宋" w:eastAsia="仿宋"/>
          <w:color w:val="auto"/>
          <w:sz w:val="32"/>
          <w:szCs w:val="32"/>
        </w:rPr>
        <w:t>急诊直接转住院治疗的，合并扣除起付线。</w:t>
      </w:r>
    </w:p>
    <w:p>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eastAsia" w:ascii="仿宋" w:hAnsi="仿宋" w:eastAsia="仿宋"/>
          <w:color w:val="auto"/>
          <w:sz w:val="32"/>
          <w:szCs w:val="32"/>
          <w:lang w:eastAsia="zh-CN"/>
        </w:rPr>
      </w:pPr>
      <w:r>
        <w:rPr>
          <w:rFonts w:hint="eastAsia" w:ascii="黑体" w:hAnsi="黑体" w:eastAsia="黑体"/>
          <w:color w:val="auto"/>
          <w:sz w:val="32"/>
          <w:szCs w:val="32"/>
        </w:rPr>
        <w:t>第</w:t>
      </w:r>
      <w:r>
        <w:rPr>
          <w:rFonts w:hint="eastAsia" w:ascii="黑体" w:hAnsi="黑体" w:eastAsia="黑体"/>
          <w:color w:val="auto"/>
          <w:sz w:val="32"/>
          <w:szCs w:val="32"/>
          <w:lang w:val="en-US" w:eastAsia="zh-CN"/>
        </w:rPr>
        <w:t>十七</w:t>
      </w:r>
      <w:r>
        <w:rPr>
          <w:rFonts w:hint="eastAsia" w:ascii="黑体" w:hAnsi="黑体" w:eastAsia="黑体"/>
          <w:color w:val="auto"/>
          <w:sz w:val="32"/>
          <w:szCs w:val="32"/>
        </w:rPr>
        <w:t>条</w:t>
      </w:r>
      <w:r>
        <w:rPr>
          <w:rFonts w:hint="eastAsia" w:ascii="仿宋" w:hAnsi="仿宋" w:eastAsia="仿宋"/>
          <w:color w:val="auto"/>
          <w:sz w:val="32"/>
          <w:szCs w:val="32"/>
        </w:rPr>
        <w:t xml:space="preserve">  职工基本医疗保险参保人员在定点医疗机构住院床位费进入统筹部分最高不得超过以下标准</w:t>
      </w:r>
      <w:r>
        <w:rPr>
          <w:rFonts w:hint="eastAsia" w:ascii="仿宋" w:hAnsi="仿宋" w:eastAsia="仿宋"/>
          <w:color w:val="auto"/>
          <w:sz w:val="32"/>
          <w:szCs w:val="32"/>
          <w:lang w:eastAsia="zh-CN"/>
        </w:rPr>
        <w:t>：</w:t>
      </w:r>
    </w:p>
    <w:p>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eastAsia" w:ascii="仿宋" w:hAnsi="仿宋" w:eastAsia="仿宋"/>
          <w:color w:val="auto"/>
          <w:sz w:val="32"/>
          <w:szCs w:val="32"/>
          <w:lang w:eastAsia="zh-CN"/>
        </w:rPr>
      </w:pPr>
      <w:r>
        <w:rPr>
          <w:rFonts w:hint="eastAsia" w:ascii="仿宋" w:hAnsi="仿宋" w:eastAsia="仿宋"/>
          <w:color w:val="auto"/>
          <w:sz w:val="32"/>
          <w:szCs w:val="32"/>
          <w:lang w:eastAsia="zh-CN"/>
        </w:rPr>
        <w:t>（一）</w:t>
      </w:r>
      <w:r>
        <w:rPr>
          <w:rFonts w:hint="eastAsia" w:ascii="仿宋" w:hAnsi="仿宋" w:eastAsia="仿宋"/>
          <w:color w:val="auto"/>
          <w:spacing w:val="-6"/>
          <w:sz w:val="32"/>
          <w:szCs w:val="32"/>
        </w:rPr>
        <w:t>普通病房，三级医院每日</w:t>
      </w:r>
      <w:r>
        <w:rPr>
          <w:rFonts w:hint="eastAsia" w:ascii="仿宋" w:hAnsi="仿宋" w:eastAsia="仿宋"/>
          <w:color w:val="auto"/>
          <w:sz w:val="32"/>
          <w:szCs w:val="32"/>
        </w:rPr>
        <w:t>40元，二级医院每日30元，一级医院每日20元</w:t>
      </w:r>
      <w:r>
        <w:rPr>
          <w:rFonts w:hint="eastAsia" w:ascii="仿宋" w:hAnsi="仿宋" w:eastAsia="仿宋"/>
          <w:color w:val="auto"/>
          <w:sz w:val="32"/>
          <w:szCs w:val="32"/>
          <w:lang w:eastAsia="zh-CN"/>
        </w:rPr>
        <w:t>；</w:t>
      </w:r>
    </w:p>
    <w:p>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eastAsia" w:ascii="仿宋" w:hAnsi="仿宋" w:eastAsia="仿宋"/>
          <w:color w:val="auto"/>
          <w:sz w:val="32"/>
          <w:szCs w:val="32"/>
          <w:lang w:eastAsia="zh-CN"/>
        </w:rPr>
      </w:pPr>
      <w:r>
        <w:rPr>
          <w:rFonts w:hint="eastAsia" w:ascii="仿宋" w:hAnsi="仿宋" w:eastAsia="仿宋"/>
          <w:color w:val="auto"/>
          <w:sz w:val="32"/>
          <w:szCs w:val="32"/>
          <w:lang w:eastAsia="zh-CN"/>
        </w:rPr>
        <w:t>（二）</w:t>
      </w:r>
      <w:r>
        <w:rPr>
          <w:rFonts w:hint="eastAsia" w:ascii="仿宋" w:hAnsi="仿宋" w:eastAsia="仿宋"/>
          <w:color w:val="auto"/>
          <w:sz w:val="32"/>
          <w:szCs w:val="32"/>
        </w:rPr>
        <w:t>享受医疗照顾人员每日100元</w:t>
      </w:r>
      <w:r>
        <w:rPr>
          <w:rFonts w:hint="eastAsia" w:ascii="仿宋" w:hAnsi="仿宋" w:eastAsia="仿宋"/>
          <w:color w:val="auto"/>
          <w:sz w:val="32"/>
          <w:szCs w:val="32"/>
          <w:lang w:eastAsia="zh-CN"/>
        </w:rPr>
        <w:t>；</w:t>
      </w:r>
    </w:p>
    <w:p>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ascii="仿宋" w:hAnsi="仿宋" w:eastAsia="仿宋"/>
          <w:color w:val="auto"/>
          <w:sz w:val="32"/>
          <w:szCs w:val="32"/>
        </w:rPr>
      </w:pPr>
      <w:r>
        <w:rPr>
          <w:rFonts w:hint="eastAsia" w:ascii="仿宋" w:hAnsi="仿宋" w:eastAsia="仿宋"/>
          <w:color w:val="auto"/>
          <w:sz w:val="32"/>
          <w:szCs w:val="32"/>
          <w:lang w:eastAsia="zh-CN"/>
        </w:rPr>
        <w:t>（三）</w:t>
      </w:r>
      <w:r>
        <w:rPr>
          <w:rFonts w:hint="eastAsia" w:ascii="仿宋" w:hAnsi="仿宋" w:eastAsia="仿宋"/>
          <w:color w:val="auto"/>
          <w:spacing w:val="-6"/>
          <w:sz w:val="32"/>
          <w:szCs w:val="32"/>
        </w:rPr>
        <w:t>其他病房，床位费按照自治区有关部门规定标准执</w:t>
      </w:r>
      <w:r>
        <w:rPr>
          <w:rFonts w:hint="eastAsia" w:ascii="仿宋" w:hAnsi="仿宋" w:eastAsia="仿宋"/>
          <w:color w:val="auto"/>
          <w:sz w:val="32"/>
          <w:szCs w:val="32"/>
        </w:rPr>
        <w:t>行。</w:t>
      </w:r>
    </w:p>
    <w:p>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ascii="仿宋" w:hAnsi="仿宋" w:eastAsia="仿宋"/>
          <w:color w:val="auto"/>
          <w:sz w:val="32"/>
          <w:szCs w:val="32"/>
        </w:rPr>
      </w:pPr>
      <w:r>
        <w:rPr>
          <w:rFonts w:hint="eastAsia" w:ascii="仿宋" w:hAnsi="仿宋" w:eastAsia="仿宋"/>
          <w:color w:val="auto"/>
          <w:sz w:val="32"/>
          <w:szCs w:val="32"/>
        </w:rPr>
        <w:t>调整床位费标准后，实际住院床位费高于规定支付标准的，按规定支付</w:t>
      </w:r>
      <w:r>
        <w:rPr>
          <w:rFonts w:hint="eastAsia" w:ascii="仿宋" w:hAnsi="仿宋" w:eastAsia="仿宋"/>
          <w:color w:val="auto"/>
          <w:sz w:val="32"/>
          <w:szCs w:val="32"/>
          <w:lang w:eastAsia="zh-CN"/>
        </w:rPr>
        <w:t>；</w:t>
      </w:r>
      <w:r>
        <w:rPr>
          <w:rFonts w:hint="eastAsia" w:ascii="仿宋" w:hAnsi="仿宋" w:eastAsia="仿宋"/>
          <w:color w:val="auto"/>
          <w:sz w:val="32"/>
          <w:szCs w:val="32"/>
        </w:rPr>
        <w:t>低于规定支付标准的，按实际费用支付。</w:t>
      </w:r>
    </w:p>
    <w:p>
      <w:pPr>
        <w:keepNext w:val="0"/>
        <w:keepLines w:val="0"/>
        <w:pageBreakBefore w:val="0"/>
        <w:kinsoku/>
        <w:wordWrap/>
        <w:overflowPunct/>
        <w:topLinePunct w:val="0"/>
        <w:autoSpaceDE/>
        <w:autoSpaceDN/>
        <w:bidi w:val="0"/>
        <w:snapToGrid/>
        <w:spacing w:line="580" w:lineRule="exact"/>
        <w:ind w:firstLine="640" w:firstLineChars="200"/>
        <w:textAlignment w:val="auto"/>
        <w:rPr>
          <w:rFonts w:ascii="仿宋" w:hAnsi="仿宋" w:eastAsia="仿宋"/>
          <w:color w:val="auto"/>
          <w:sz w:val="32"/>
          <w:szCs w:val="32"/>
        </w:rPr>
      </w:pPr>
      <w:r>
        <w:rPr>
          <w:rFonts w:hint="eastAsia" w:ascii="黑体" w:hAnsi="黑体" w:eastAsia="黑体"/>
          <w:color w:val="auto"/>
          <w:sz w:val="32"/>
          <w:szCs w:val="32"/>
        </w:rPr>
        <w:t>第</w:t>
      </w:r>
      <w:r>
        <w:rPr>
          <w:rFonts w:hint="eastAsia" w:ascii="黑体" w:hAnsi="黑体" w:eastAsia="黑体"/>
          <w:color w:val="auto"/>
          <w:sz w:val="32"/>
          <w:szCs w:val="32"/>
          <w:lang w:eastAsia="zh-CN"/>
        </w:rPr>
        <w:t>十八</w:t>
      </w:r>
      <w:r>
        <w:rPr>
          <w:rFonts w:hint="eastAsia" w:ascii="黑体" w:hAnsi="黑体" w:eastAsia="黑体"/>
          <w:color w:val="auto"/>
          <w:sz w:val="32"/>
          <w:szCs w:val="32"/>
        </w:rPr>
        <w:t>条</w:t>
      </w:r>
      <w:r>
        <w:rPr>
          <w:rFonts w:hint="eastAsia" w:ascii="仿宋" w:hAnsi="仿宋" w:eastAsia="仿宋"/>
          <w:color w:val="auto"/>
          <w:sz w:val="32"/>
          <w:szCs w:val="32"/>
        </w:rPr>
        <w:t xml:space="preserve">  统筹基金起付标准以上，最高支付限额以下的部分，由统筹基金和参保人员按</w:t>
      </w:r>
      <w:r>
        <w:rPr>
          <w:rFonts w:hint="eastAsia" w:ascii="仿宋" w:hAnsi="仿宋" w:eastAsia="仿宋"/>
          <w:color w:val="auto"/>
          <w:sz w:val="32"/>
          <w:szCs w:val="32"/>
          <w:lang w:eastAsia="zh-CN"/>
        </w:rPr>
        <w:t>“</w:t>
      </w:r>
      <w:r>
        <w:rPr>
          <w:rFonts w:hint="eastAsia" w:ascii="仿宋" w:hAnsi="仿宋" w:eastAsia="仿宋"/>
          <w:color w:val="auto"/>
          <w:sz w:val="32"/>
          <w:szCs w:val="32"/>
        </w:rPr>
        <w:t>分段计算，累加支付”的办法按比例支付。</w:t>
      </w:r>
    </w:p>
    <w:p>
      <w:pPr>
        <w:keepNext w:val="0"/>
        <w:keepLines w:val="0"/>
        <w:pageBreakBefore w:val="0"/>
        <w:kinsoku/>
        <w:wordWrap/>
        <w:overflowPunct/>
        <w:topLinePunct w:val="0"/>
        <w:autoSpaceDE/>
        <w:autoSpaceDN/>
        <w:bidi w:val="0"/>
        <w:snapToGrid/>
        <w:spacing w:line="580" w:lineRule="exact"/>
        <w:ind w:firstLine="640" w:firstLineChars="200"/>
        <w:textAlignment w:val="auto"/>
        <w:rPr>
          <w:rFonts w:hint="eastAsia" w:ascii="方正仿宋_GBK" w:hAnsi="方正仿宋_GBK" w:eastAsia="方正仿宋_GBK" w:cs="方正仿宋_GBK"/>
          <w:color w:val="auto"/>
          <w:sz w:val="32"/>
          <w:szCs w:val="32"/>
          <w:lang w:val="en"/>
        </w:rPr>
      </w:pPr>
      <w:r>
        <w:rPr>
          <w:rFonts w:hint="eastAsia" w:ascii="方正仿宋_GBK" w:hAnsi="方正仿宋_GBK" w:eastAsia="方正仿宋_GBK" w:cs="方正仿宋_GBK"/>
          <w:color w:val="auto"/>
          <w:sz w:val="32"/>
          <w:szCs w:val="32"/>
          <w:lang w:val="en"/>
        </w:rPr>
        <w:t>（</w:t>
      </w:r>
      <w:r>
        <w:rPr>
          <w:rFonts w:hint="eastAsia" w:ascii="方正仿宋_GBK" w:hAnsi="方正仿宋_GBK" w:eastAsia="方正仿宋_GBK" w:cs="方正仿宋_GBK"/>
          <w:color w:val="auto"/>
          <w:sz w:val="32"/>
          <w:szCs w:val="32"/>
        </w:rPr>
        <w:t>一</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rPr>
        <w:t>参保人员统筹基金支付比例如下</w:t>
      </w:r>
      <w:r>
        <w:rPr>
          <w:rFonts w:hint="eastAsia" w:ascii="方正仿宋_GBK" w:hAnsi="方正仿宋_GBK" w:eastAsia="方正仿宋_GBK" w:cs="方正仿宋_GBK"/>
          <w:color w:val="auto"/>
          <w:sz w:val="32"/>
          <w:szCs w:val="32"/>
          <w:lang w:val="en"/>
        </w:rPr>
        <w:t>：</w:t>
      </w:r>
    </w:p>
    <w:tbl>
      <w:tblPr>
        <w:tblStyle w:val="11"/>
        <w:tblW w:w="875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98"/>
        <w:gridCol w:w="906"/>
        <w:gridCol w:w="1271"/>
        <w:gridCol w:w="834"/>
        <w:gridCol w:w="872"/>
        <w:gridCol w:w="1307"/>
        <w:gridCol w:w="8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42" w:hRule="atLeast"/>
          <w:jc w:val="center"/>
        </w:trPr>
        <w:tc>
          <w:tcPr>
            <w:tcW w:w="2698"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黑体" w:hAnsi="黑体" w:eastAsia="黑体" w:cs="黑体"/>
                <w:color w:val="auto"/>
                <w:sz w:val="30"/>
                <w:szCs w:val="30"/>
              </w:rPr>
            </w:pPr>
            <w:r>
              <w:rPr>
                <w:rFonts w:hint="eastAsia" w:ascii="黑体" w:hAnsi="黑体" w:eastAsia="黑体" w:cs="黑体"/>
                <w:color w:val="auto"/>
                <w:sz w:val="30"/>
                <w:szCs w:val="30"/>
              </w:rPr>
              <w:t>进入统筹部分</w:t>
            </w:r>
          </w:p>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黑体" w:hAnsi="黑体" w:eastAsia="黑体" w:cs="黑体"/>
                <w:color w:val="auto"/>
                <w:sz w:val="30"/>
                <w:szCs w:val="30"/>
              </w:rPr>
            </w:pPr>
            <w:r>
              <w:rPr>
                <w:rFonts w:hint="eastAsia" w:ascii="黑体" w:hAnsi="黑体" w:eastAsia="黑体" w:cs="黑体"/>
                <w:color w:val="auto"/>
                <w:sz w:val="30"/>
                <w:szCs w:val="30"/>
              </w:rPr>
              <w:t>住院医疗费用</w:t>
            </w:r>
          </w:p>
        </w:tc>
        <w:tc>
          <w:tcPr>
            <w:tcW w:w="3011" w:type="dxa"/>
            <w:gridSpan w:val="3"/>
            <w:noWrap w:val="0"/>
            <w:vAlign w:val="top"/>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黑体" w:hAnsi="黑体" w:eastAsia="黑体" w:cs="黑体"/>
                <w:color w:val="auto"/>
                <w:sz w:val="30"/>
                <w:szCs w:val="30"/>
              </w:rPr>
            </w:pPr>
            <w:r>
              <w:rPr>
                <w:rFonts w:hint="eastAsia" w:ascii="黑体" w:hAnsi="黑体" w:eastAsia="黑体" w:cs="黑体"/>
                <w:color w:val="auto"/>
                <w:sz w:val="30"/>
                <w:szCs w:val="30"/>
              </w:rPr>
              <w:t>在职人员统筹基金</w:t>
            </w:r>
          </w:p>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黑体" w:hAnsi="黑体" w:eastAsia="黑体" w:cs="黑体"/>
                <w:color w:val="auto"/>
                <w:sz w:val="30"/>
                <w:szCs w:val="30"/>
              </w:rPr>
            </w:pPr>
            <w:r>
              <w:rPr>
                <w:rFonts w:hint="eastAsia" w:ascii="黑体" w:hAnsi="黑体" w:eastAsia="黑体" w:cs="黑体"/>
                <w:color w:val="auto"/>
                <w:sz w:val="30"/>
                <w:szCs w:val="30"/>
              </w:rPr>
              <w:t>支付比例</w:t>
            </w:r>
          </w:p>
        </w:tc>
        <w:tc>
          <w:tcPr>
            <w:tcW w:w="3043" w:type="dxa"/>
            <w:gridSpan w:val="3"/>
            <w:noWrap w:val="0"/>
            <w:vAlign w:val="top"/>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黑体" w:hAnsi="黑体" w:eastAsia="黑体" w:cs="黑体"/>
                <w:color w:val="auto"/>
                <w:sz w:val="30"/>
                <w:szCs w:val="30"/>
              </w:rPr>
            </w:pPr>
            <w:r>
              <w:rPr>
                <w:rFonts w:hint="eastAsia" w:ascii="黑体" w:hAnsi="黑体" w:eastAsia="黑体" w:cs="黑体"/>
                <w:color w:val="auto"/>
                <w:sz w:val="30"/>
                <w:szCs w:val="30"/>
              </w:rPr>
              <w:t>退休人员统筹基金</w:t>
            </w:r>
          </w:p>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黑体" w:hAnsi="黑体" w:eastAsia="黑体" w:cs="黑体"/>
                <w:color w:val="auto"/>
                <w:sz w:val="30"/>
                <w:szCs w:val="30"/>
              </w:rPr>
            </w:pPr>
            <w:r>
              <w:rPr>
                <w:rFonts w:hint="eastAsia" w:ascii="黑体" w:hAnsi="黑体" w:eastAsia="黑体" w:cs="黑体"/>
                <w:color w:val="auto"/>
                <w:sz w:val="30"/>
                <w:szCs w:val="30"/>
              </w:rPr>
              <w:t>支付比例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99" w:hRule="atLeast"/>
          <w:jc w:val="center"/>
        </w:trPr>
        <w:tc>
          <w:tcPr>
            <w:tcW w:w="2698" w:type="dxa"/>
            <w:vMerge w:val="continue"/>
            <w:noWrap w:val="0"/>
            <w:vAlign w:val="top"/>
          </w:tcPr>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黑体" w:hAnsi="黑体" w:eastAsia="黑体" w:cs="黑体"/>
                <w:color w:val="auto"/>
                <w:sz w:val="30"/>
                <w:szCs w:val="30"/>
              </w:rPr>
            </w:pPr>
          </w:p>
        </w:tc>
        <w:tc>
          <w:tcPr>
            <w:tcW w:w="906" w:type="dxa"/>
            <w:noWrap w:val="0"/>
            <w:vAlign w:val="top"/>
          </w:tcPr>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黑体" w:hAnsi="黑体" w:eastAsia="黑体" w:cs="黑体"/>
                <w:color w:val="auto"/>
                <w:sz w:val="30"/>
                <w:szCs w:val="30"/>
              </w:rPr>
            </w:pPr>
            <w:r>
              <w:rPr>
                <w:rFonts w:hint="eastAsia" w:ascii="黑体" w:hAnsi="黑体" w:eastAsia="黑体" w:cs="黑体"/>
                <w:color w:val="auto"/>
                <w:sz w:val="30"/>
                <w:szCs w:val="30"/>
              </w:rPr>
              <w:t>三甲或三级特等</w:t>
            </w:r>
          </w:p>
        </w:tc>
        <w:tc>
          <w:tcPr>
            <w:tcW w:w="1271" w:type="dxa"/>
            <w:noWrap w:val="0"/>
            <w:vAlign w:val="top"/>
          </w:tcPr>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黑体" w:hAnsi="黑体" w:eastAsia="黑体" w:cs="黑体"/>
                <w:color w:val="auto"/>
                <w:sz w:val="30"/>
                <w:szCs w:val="30"/>
                <w:lang w:eastAsia="zh-CN"/>
              </w:rPr>
            </w:pPr>
            <w:r>
              <w:rPr>
                <w:rFonts w:hint="eastAsia" w:ascii="黑体" w:hAnsi="黑体" w:eastAsia="黑体" w:cs="黑体"/>
                <w:color w:val="auto"/>
                <w:sz w:val="30"/>
                <w:szCs w:val="30"/>
              </w:rPr>
              <w:t>三乙</w:t>
            </w:r>
            <w:r>
              <w:rPr>
                <w:rFonts w:hint="eastAsia" w:ascii="黑体" w:hAnsi="黑体" w:eastAsia="黑体" w:cs="黑体"/>
                <w:color w:val="auto"/>
                <w:sz w:val="30"/>
                <w:szCs w:val="30"/>
                <w:lang w:eastAsia="zh-CN"/>
              </w:rPr>
              <w:t>、三丙或</w:t>
            </w:r>
            <w:r>
              <w:rPr>
                <w:rFonts w:hint="eastAsia" w:ascii="黑体" w:hAnsi="黑体" w:eastAsia="黑体" w:cs="黑体"/>
                <w:color w:val="auto"/>
                <w:sz w:val="30"/>
                <w:szCs w:val="30"/>
              </w:rPr>
              <w:t>三级无等</w:t>
            </w:r>
          </w:p>
        </w:tc>
        <w:tc>
          <w:tcPr>
            <w:tcW w:w="834"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黑体" w:hAnsi="黑体" w:eastAsia="黑体" w:cs="黑体"/>
                <w:color w:val="auto"/>
                <w:sz w:val="30"/>
                <w:szCs w:val="30"/>
              </w:rPr>
            </w:pPr>
            <w:r>
              <w:rPr>
                <w:rFonts w:hint="eastAsia" w:ascii="黑体" w:hAnsi="黑体" w:eastAsia="黑体" w:cs="黑体"/>
                <w:color w:val="auto"/>
                <w:sz w:val="30"/>
                <w:szCs w:val="30"/>
              </w:rPr>
              <w:t>其他</w:t>
            </w:r>
          </w:p>
        </w:tc>
        <w:tc>
          <w:tcPr>
            <w:tcW w:w="872" w:type="dxa"/>
            <w:noWrap w:val="0"/>
            <w:vAlign w:val="top"/>
          </w:tcPr>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黑体" w:hAnsi="黑体" w:eastAsia="黑体" w:cs="黑体"/>
                <w:color w:val="auto"/>
                <w:sz w:val="30"/>
                <w:szCs w:val="30"/>
              </w:rPr>
            </w:pPr>
            <w:r>
              <w:rPr>
                <w:rFonts w:hint="eastAsia" w:ascii="黑体" w:hAnsi="黑体" w:eastAsia="黑体" w:cs="黑体"/>
                <w:color w:val="auto"/>
                <w:sz w:val="30"/>
                <w:szCs w:val="30"/>
              </w:rPr>
              <w:t>三甲或三级特等</w:t>
            </w:r>
          </w:p>
        </w:tc>
        <w:tc>
          <w:tcPr>
            <w:tcW w:w="1307" w:type="dxa"/>
            <w:noWrap w:val="0"/>
            <w:vAlign w:val="top"/>
          </w:tcPr>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黑体" w:hAnsi="黑体" w:eastAsia="黑体" w:cs="黑体"/>
                <w:color w:val="auto"/>
                <w:sz w:val="30"/>
                <w:szCs w:val="30"/>
              </w:rPr>
            </w:pPr>
            <w:r>
              <w:rPr>
                <w:rFonts w:hint="eastAsia" w:ascii="黑体" w:hAnsi="黑体" w:eastAsia="黑体" w:cs="黑体"/>
                <w:color w:val="auto"/>
                <w:sz w:val="30"/>
                <w:szCs w:val="30"/>
              </w:rPr>
              <w:t>三乙</w:t>
            </w:r>
            <w:r>
              <w:rPr>
                <w:rFonts w:hint="eastAsia" w:ascii="黑体" w:hAnsi="黑体" w:eastAsia="黑体" w:cs="黑体"/>
                <w:color w:val="auto"/>
                <w:sz w:val="30"/>
                <w:szCs w:val="30"/>
                <w:lang w:eastAsia="zh-CN"/>
              </w:rPr>
              <w:t>、三丙或</w:t>
            </w:r>
            <w:r>
              <w:rPr>
                <w:rFonts w:hint="eastAsia" w:ascii="黑体" w:hAnsi="黑体" w:eastAsia="黑体" w:cs="黑体"/>
                <w:color w:val="auto"/>
                <w:sz w:val="30"/>
                <w:szCs w:val="30"/>
              </w:rPr>
              <w:t>三级无等</w:t>
            </w:r>
          </w:p>
        </w:tc>
        <w:tc>
          <w:tcPr>
            <w:tcW w:w="864"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黑体" w:hAnsi="黑体" w:eastAsia="黑体" w:cs="黑体"/>
                <w:color w:val="auto"/>
                <w:sz w:val="30"/>
                <w:szCs w:val="30"/>
              </w:rPr>
            </w:pPr>
            <w:r>
              <w:rPr>
                <w:rFonts w:hint="eastAsia" w:ascii="黑体" w:hAnsi="黑体" w:eastAsia="黑体" w:cs="黑体"/>
                <w:color w:val="auto"/>
                <w:sz w:val="30"/>
                <w:szCs w:val="30"/>
              </w:rPr>
              <w:t>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698" w:type="dxa"/>
            <w:noWrap w:val="0"/>
            <w:vAlign w:val="top"/>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ascii="仿宋" w:hAnsi="仿宋" w:eastAsia="仿宋"/>
                <w:color w:val="auto"/>
                <w:sz w:val="32"/>
                <w:szCs w:val="32"/>
              </w:rPr>
            </w:pPr>
            <w:r>
              <w:rPr>
                <w:rFonts w:hint="eastAsia" w:ascii="仿宋" w:hAnsi="仿宋" w:eastAsia="仿宋"/>
                <w:color w:val="auto"/>
                <w:sz w:val="32"/>
                <w:szCs w:val="32"/>
              </w:rPr>
              <w:t>起付线</w:t>
            </w:r>
            <w:r>
              <w:rPr>
                <w:rFonts w:hint="eastAsia" w:ascii="仿宋" w:hAnsi="仿宋" w:eastAsia="仿宋"/>
                <w:color w:val="auto"/>
                <w:sz w:val="32"/>
                <w:szCs w:val="32"/>
                <w:lang w:eastAsia="zh-CN"/>
              </w:rPr>
              <w:t>—</w:t>
            </w:r>
            <w:r>
              <w:rPr>
                <w:rFonts w:hint="eastAsia" w:ascii="仿宋" w:hAnsi="仿宋" w:eastAsia="仿宋"/>
                <w:color w:val="auto"/>
                <w:sz w:val="32"/>
                <w:szCs w:val="32"/>
              </w:rPr>
              <w:t>3.5万元</w:t>
            </w:r>
          </w:p>
        </w:tc>
        <w:tc>
          <w:tcPr>
            <w:tcW w:w="906" w:type="dxa"/>
            <w:noWrap w:val="0"/>
            <w:vAlign w:val="top"/>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ascii="仿宋" w:hAnsi="仿宋" w:eastAsia="仿宋"/>
                <w:color w:val="auto"/>
                <w:sz w:val="32"/>
                <w:szCs w:val="32"/>
              </w:rPr>
            </w:pPr>
            <w:r>
              <w:rPr>
                <w:rFonts w:hint="eastAsia" w:ascii="仿宋" w:hAnsi="仿宋" w:eastAsia="仿宋"/>
                <w:color w:val="auto"/>
                <w:sz w:val="32"/>
                <w:szCs w:val="32"/>
              </w:rPr>
              <w:t>85%</w:t>
            </w:r>
          </w:p>
        </w:tc>
        <w:tc>
          <w:tcPr>
            <w:tcW w:w="1271" w:type="dxa"/>
            <w:noWrap w:val="0"/>
            <w:vAlign w:val="top"/>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ascii="仿宋" w:hAnsi="仿宋" w:eastAsia="仿宋"/>
                <w:color w:val="auto"/>
                <w:sz w:val="32"/>
                <w:szCs w:val="32"/>
              </w:rPr>
            </w:pPr>
            <w:r>
              <w:rPr>
                <w:rFonts w:hint="eastAsia" w:ascii="仿宋" w:hAnsi="仿宋" w:eastAsia="仿宋"/>
                <w:color w:val="auto"/>
                <w:sz w:val="32"/>
                <w:szCs w:val="32"/>
              </w:rPr>
              <w:t>90%</w:t>
            </w:r>
          </w:p>
        </w:tc>
        <w:tc>
          <w:tcPr>
            <w:tcW w:w="834" w:type="dxa"/>
            <w:noWrap w:val="0"/>
            <w:vAlign w:val="top"/>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ascii="仿宋" w:hAnsi="仿宋" w:eastAsia="仿宋"/>
                <w:color w:val="auto"/>
                <w:sz w:val="32"/>
                <w:szCs w:val="32"/>
              </w:rPr>
            </w:pPr>
            <w:r>
              <w:rPr>
                <w:rFonts w:hint="eastAsia" w:ascii="仿宋" w:hAnsi="仿宋" w:eastAsia="仿宋"/>
                <w:color w:val="auto"/>
                <w:sz w:val="32"/>
                <w:szCs w:val="32"/>
              </w:rPr>
              <w:t>95%</w:t>
            </w:r>
          </w:p>
        </w:tc>
        <w:tc>
          <w:tcPr>
            <w:tcW w:w="872" w:type="dxa"/>
            <w:noWrap w:val="0"/>
            <w:vAlign w:val="top"/>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ascii="仿宋" w:hAnsi="仿宋" w:eastAsia="仿宋"/>
                <w:color w:val="auto"/>
                <w:sz w:val="32"/>
                <w:szCs w:val="32"/>
              </w:rPr>
            </w:pPr>
            <w:r>
              <w:rPr>
                <w:rFonts w:hint="eastAsia" w:ascii="仿宋" w:hAnsi="仿宋" w:eastAsia="仿宋"/>
                <w:color w:val="auto"/>
                <w:sz w:val="32"/>
                <w:szCs w:val="32"/>
              </w:rPr>
              <w:t>88%</w:t>
            </w:r>
          </w:p>
        </w:tc>
        <w:tc>
          <w:tcPr>
            <w:tcW w:w="1307" w:type="dxa"/>
            <w:noWrap w:val="0"/>
            <w:vAlign w:val="top"/>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ascii="仿宋" w:hAnsi="仿宋" w:eastAsia="仿宋"/>
                <w:color w:val="auto"/>
                <w:sz w:val="32"/>
                <w:szCs w:val="32"/>
              </w:rPr>
            </w:pPr>
            <w:r>
              <w:rPr>
                <w:rFonts w:hint="eastAsia" w:ascii="仿宋" w:hAnsi="仿宋" w:eastAsia="仿宋"/>
                <w:color w:val="auto"/>
                <w:sz w:val="32"/>
                <w:szCs w:val="32"/>
              </w:rPr>
              <w:t>93%</w:t>
            </w:r>
          </w:p>
        </w:tc>
        <w:tc>
          <w:tcPr>
            <w:tcW w:w="864" w:type="dxa"/>
            <w:noWrap w:val="0"/>
            <w:vAlign w:val="top"/>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ascii="仿宋" w:hAnsi="仿宋" w:eastAsia="仿宋"/>
                <w:color w:val="auto"/>
                <w:sz w:val="32"/>
                <w:szCs w:val="32"/>
              </w:rPr>
            </w:pPr>
            <w:r>
              <w:rPr>
                <w:rFonts w:hint="eastAsia" w:ascii="仿宋" w:hAnsi="仿宋" w:eastAsia="仿宋"/>
                <w:color w:val="auto"/>
                <w:sz w:val="32"/>
                <w:szCs w:val="32"/>
              </w:rPr>
              <w:t>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698" w:type="dxa"/>
            <w:noWrap w:val="0"/>
            <w:vAlign w:val="top"/>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ascii="仿宋" w:hAnsi="仿宋" w:eastAsia="仿宋"/>
                <w:color w:val="auto"/>
                <w:sz w:val="32"/>
                <w:szCs w:val="32"/>
              </w:rPr>
            </w:pPr>
            <w:r>
              <w:rPr>
                <w:rFonts w:hint="eastAsia" w:ascii="仿宋" w:hAnsi="仿宋" w:eastAsia="仿宋"/>
                <w:color w:val="auto"/>
                <w:sz w:val="32"/>
                <w:szCs w:val="32"/>
              </w:rPr>
              <w:t>3.5万元以上</w:t>
            </w:r>
          </w:p>
        </w:tc>
        <w:tc>
          <w:tcPr>
            <w:tcW w:w="906" w:type="dxa"/>
            <w:noWrap w:val="0"/>
            <w:vAlign w:val="top"/>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ascii="仿宋" w:hAnsi="仿宋" w:eastAsia="仿宋"/>
                <w:color w:val="auto"/>
                <w:sz w:val="32"/>
                <w:szCs w:val="32"/>
              </w:rPr>
            </w:pPr>
            <w:r>
              <w:rPr>
                <w:rFonts w:hint="eastAsia" w:ascii="仿宋" w:hAnsi="仿宋" w:eastAsia="仿宋"/>
                <w:color w:val="auto"/>
                <w:sz w:val="32"/>
                <w:szCs w:val="32"/>
              </w:rPr>
              <w:t>95%</w:t>
            </w:r>
          </w:p>
        </w:tc>
        <w:tc>
          <w:tcPr>
            <w:tcW w:w="1271" w:type="dxa"/>
            <w:noWrap w:val="0"/>
            <w:vAlign w:val="top"/>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ascii="仿宋" w:hAnsi="仿宋" w:eastAsia="仿宋"/>
                <w:color w:val="auto"/>
                <w:sz w:val="32"/>
                <w:szCs w:val="32"/>
              </w:rPr>
            </w:pPr>
            <w:r>
              <w:rPr>
                <w:rFonts w:hint="eastAsia" w:ascii="仿宋" w:hAnsi="仿宋" w:eastAsia="仿宋"/>
                <w:color w:val="auto"/>
                <w:sz w:val="32"/>
                <w:szCs w:val="32"/>
              </w:rPr>
              <w:t>96%</w:t>
            </w:r>
          </w:p>
        </w:tc>
        <w:tc>
          <w:tcPr>
            <w:tcW w:w="834" w:type="dxa"/>
            <w:noWrap w:val="0"/>
            <w:vAlign w:val="top"/>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ascii="仿宋" w:hAnsi="仿宋" w:eastAsia="仿宋"/>
                <w:color w:val="auto"/>
                <w:sz w:val="32"/>
                <w:szCs w:val="32"/>
              </w:rPr>
            </w:pPr>
            <w:r>
              <w:rPr>
                <w:rFonts w:hint="eastAsia" w:ascii="仿宋" w:hAnsi="仿宋" w:eastAsia="仿宋"/>
                <w:color w:val="auto"/>
                <w:sz w:val="32"/>
                <w:szCs w:val="32"/>
              </w:rPr>
              <w:t>97%</w:t>
            </w:r>
          </w:p>
        </w:tc>
        <w:tc>
          <w:tcPr>
            <w:tcW w:w="872" w:type="dxa"/>
            <w:noWrap w:val="0"/>
            <w:vAlign w:val="top"/>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ascii="仿宋" w:hAnsi="仿宋" w:eastAsia="仿宋"/>
                <w:color w:val="auto"/>
                <w:sz w:val="32"/>
                <w:szCs w:val="32"/>
              </w:rPr>
            </w:pPr>
            <w:r>
              <w:rPr>
                <w:rFonts w:hint="eastAsia" w:ascii="仿宋" w:hAnsi="仿宋" w:eastAsia="仿宋"/>
                <w:color w:val="auto"/>
                <w:sz w:val="32"/>
                <w:szCs w:val="32"/>
              </w:rPr>
              <w:t>96%</w:t>
            </w:r>
          </w:p>
        </w:tc>
        <w:tc>
          <w:tcPr>
            <w:tcW w:w="1307" w:type="dxa"/>
            <w:noWrap w:val="0"/>
            <w:vAlign w:val="top"/>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ascii="仿宋" w:hAnsi="仿宋" w:eastAsia="仿宋"/>
                <w:color w:val="auto"/>
                <w:sz w:val="32"/>
                <w:szCs w:val="32"/>
              </w:rPr>
            </w:pPr>
            <w:r>
              <w:rPr>
                <w:rFonts w:hint="eastAsia" w:ascii="仿宋" w:hAnsi="仿宋" w:eastAsia="仿宋"/>
                <w:color w:val="auto"/>
                <w:sz w:val="32"/>
                <w:szCs w:val="32"/>
              </w:rPr>
              <w:t>97%</w:t>
            </w:r>
          </w:p>
        </w:tc>
        <w:tc>
          <w:tcPr>
            <w:tcW w:w="864" w:type="dxa"/>
            <w:noWrap w:val="0"/>
            <w:vAlign w:val="top"/>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ascii="仿宋" w:hAnsi="仿宋" w:eastAsia="仿宋"/>
                <w:color w:val="auto"/>
                <w:sz w:val="32"/>
                <w:szCs w:val="32"/>
              </w:rPr>
            </w:pPr>
            <w:r>
              <w:rPr>
                <w:rFonts w:hint="eastAsia" w:ascii="仿宋" w:hAnsi="仿宋" w:eastAsia="仿宋"/>
                <w:color w:val="auto"/>
                <w:sz w:val="32"/>
                <w:szCs w:val="32"/>
              </w:rPr>
              <w:t>98%</w:t>
            </w:r>
          </w:p>
        </w:tc>
      </w:tr>
    </w:tbl>
    <w:p>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eastAsia" w:ascii="仿宋" w:hAnsi="仿宋" w:eastAsia="仿宋" w:cs="仿宋"/>
          <w:color w:val="auto"/>
          <w:sz w:val="32"/>
          <w:szCs w:val="32"/>
          <w:lang w:eastAsia="zh-CN"/>
        </w:rPr>
      </w:pPr>
      <w:r>
        <w:rPr>
          <w:rFonts w:hint="eastAsia" w:ascii="仿宋" w:hAnsi="仿宋" w:eastAsia="仿宋" w:cs="仿宋"/>
          <w:color w:val="auto"/>
          <w:sz w:val="32"/>
          <w:szCs w:val="32"/>
        </w:rPr>
        <w:t>门急诊</w:t>
      </w:r>
      <w:r>
        <w:rPr>
          <w:rFonts w:hint="default" w:ascii="仿宋" w:hAnsi="仿宋" w:eastAsia="仿宋" w:cs="仿宋"/>
          <w:color w:val="auto"/>
          <w:sz w:val="32"/>
          <w:szCs w:val="32"/>
          <w:lang w:val="en"/>
        </w:rPr>
        <w:t>（</w:t>
      </w:r>
      <w:r>
        <w:rPr>
          <w:rFonts w:hint="eastAsia" w:ascii="仿宋" w:hAnsi="仿宋" w:eastAsia="仿宋" w:cs="仿宋"/>
          <w:color w:val="auto"/>
          <w:sz w:val="32"/>
          <w:szCs w:val="32"/>
        </w:rPr>
        <w:t>限三天内）发生的符合“三个目录”内的医疗费用，统筹基金支付比例为70</w:t>
      </w:r>
      <w:r>
        <w:rPr>
          <w:rFonts w:hint="eastAsia" w:ascii="仿宋" w:hAnsi="仿宋" w:eastAsia="仿宋" w:cs="仿宋"/>
          <w:color w:val="auto"/>
          <w:sz w:val="32"/>
          <w:szCs w:val="32"/>
          <w:lang w:val="en-US" w:eastAsia="zh-CN"/>
        </w:rPr>
        <w:t>%；</w:t>
      </w:r>
    </w:p>
    <w:p>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eastAsia" w:ascii="仿宋" w:hAnsi="仿宋" w:eastAsia="仿宋"/>
          <w:color w:val="auto"/>
          <w:sz w:val="32"/>
          <w:szCs w:val="32"/>
          <w:lang w:val="en" w:eastAsia="zh-CN"/>
        </w:rPr>
      </w:pPr>
      <w:r>
        <w:rPr>
          <w:rFonts w:hint="default" w:ascii="仿宋" w:hAnsi="仿宋" w:eastAsia="仿宋"/>
          <w:color w:val="auto"/>
          <w:sz w:val="32"/>
          <w:szCs w:val="32"/>
          <w:lang w:val="en"/>
        </w:rPr>
        <w:t>（</w:t>
      </w:r>
      <w:r>
        <w:rPr>
          <w:rFonts w:hint="eastAsia" w:ascii="仿宋" w:hAnsi="仿宋" w:eastAsia="仿宋"/>
          <w:color w:val="auto"/>
          <w:sz w:val="32"/>
          <w:szCs w:val="32"/>
        </w:rPr>
        <w:t>二</w:t>
      </w:r>
      <w:r>
        <w:rPr>
          <w:rFonts w:hint="eastAsia" w:ascii="仿宋" w:hAnsi="仿宋" w:eastAsia="仿宋"/>
          <w:color w:val="auto"/>
          <w:sz w:val="32"/>
          <w:szCs w:val="32"/>
          <w:lang w:eastAsia="zh-CN"/>
        </w:rPr>
        <w:t>）</w:t>
      </w:r>
      <w:r>
        <w:rPr>
          <w:rFonts w:hint="eastAsia" w:ascii="仿宋" w:hAnsi="仿宋" w:eastAsia="仿宋"/>
          <w:color w:val="auto"/>
          <w:sz w:val="32"/>
          <w:szCs w:val="32"/>
        </w:rPr>
        <w:t>最高支付限额以上的医疗费用，通过建立</w:t>
      </w:r>
      <w:r>
        <w:rPr>
          <w:rFonts w:hint="eastAsia" w:ascii="仿宋" w:hAnsi="仿宋" w:eastAsia="仿宋"/>
          <w:color w:val="auto"/>
          <w:sz w:val="32"/>
          <w:szCs w:val="32"/>
          <w:lang w:eastAsia="zh-CN"/>
        </w:rPr>
        <w:t>职工</w:t>
      </w:r>
      <w:r>
        <w:rPr>
          <w:rFonts w:hint="eastAsia" w:ascii="仿宋" w:hAnsi="仿宋" w:eastAsia="仿宋"/>
          <w:color w:val="auto"/>
          <w:sz w:val="32"/>
          <w:szCs w:val="32"/>
        </w:rPr>
        <w:t>大额医疗保险的途径解决</w:t>
      </w:r>
      <w:r>
        <w:rPr>
          <w:rFonts w:hint="eastAsia" w:ascii="仿宋" w:hAnsi="仿宋" w:eastAsia="仿宋"/>
          <w:color w:val="auto"/>
          <w:sz w:val="32"/>
          <w:szCs w:val="32"/>
          <w:lang w:val="en-US" w:eastAsia="zh-CN"/>
        </w:rPr>
        <w:t>；</w:t>
      </w:r>
    </w:p>
    <w:p>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eastAsia" w:ascii="仿宋" w:hAnsi="仿宋" w:eastAsia="仿宋"/>
          <w:color w:val="auto"/>
          <w:sz w:val="32"/>
          <w:szCs w:val="32"/>
          <w:lang w:val="en" w:eastAsia="zh-CN"/>
        </w:rPr>
      </w:pPr>
      <w:r>
        <w:rPr>
          <w:rFonts w:hint="default" w:ascii="仿宋" w:hAnsi="仿宋" w:eastAsia="仿宋"/>
          <w:color w:val="auto"/>
          <w:sz w:val="32"/>
          <w:szCs w:val="32"/>
          <w:lang w:val="en"/>
        </w:rPr>
        <w:t>（</w:t>
      </w:r>
      <w:r>
        <w:rPr>
          <w:rFonts w:hint="eastAsia" w:ascii="仿宋" w:hAnsi="仿宋" w:eastAsia="仿宋"/>
          <w:color w:val="auto"/>
          <w:sz w:val="32"/>
          <w:szCs w:val="32"/>
        </w:rPr>
        <w:t>三</w:t>
      </w:r>
      <w:r>
        <w:rPr>
          <w:rFonts w:hint="eastAsia" w:ascii="仿宋" w:hAnsi="仿宋" w:eastAsia="仿宋"/>
          <w:color w:val="auto"/>
          <w:sz w:val="32"/>
          <w:szCs w:val="32"/>
          <w:lang w:eastAsia="zh-CN"/>
        </w:rPr>
        <w:t>）</w:t>
      </w:r>
      <w:r>
        <w:rPr>
          <w:rFonts w:hint="eastAsia" w:ascii="仿宋" w:hAnsi="仿宋" w:eastAsia="仿宋"/>
          <w:color w:val="auto"/>
          <w:sz w:val="32"/>
          <w:szCs w:val="32"/>
        </w:rPr>
        <w:t>基本医疗保险统筹基金起付标准、支付比例、最高支付限额可随经济</w:t>
      </w:r>
      <w:r>
        <w:rPr>
          <w:rFonts w:hint="eastAsia" w:ascii="仿宋" w:hAnsi="仿宋" w:eastAsia="仿宋"/>
          <w:color w:val="auto"/>
          <w:sz w:val="32"/>
          <w:szCs w:val="32"/>
          <w:lang w:eastAsia="zh-CN"/>
        </w:rPr>
        <w:t>社会</w:t>
      </w:r>
      <w:r>
        <w:rPr>
          <w:rFonts w:hint="eastAsia" w:ascii="仿宋" w:hAnsi="仿宋" w:eastAsia="仿宋"/>
          <w:color w:val="auto"/>
          <w:sz w:val="32"/>
          <w:szCs w:val="32"/>
        </w:rPr>
        <w:t>发展和医疗消费水平的变化</w:t>
      </w:r>
      <w:r>
        <w:rPr>
          <w:rFonts w:hint="eastAsia" w:ascii="仿宋" w:hAnsi="仿宋" w:eastAsia="仿宋"/>
          <w:color w:val="auto"/>
          <w:sz w:val="32"/>
          <w:szCs w:val="32"/>
          <w:lang w:eastAsia="zh-CN"/>
        </w:rPr>
        <w:t>作</w:t>
      </w:r>
      <w:r>
        <w:rPr>
          <w:rFonts w:hint="eastAsia" w:ascii="仿宋" w:hAnsi="仿宋" w:eastAsia="仿宋"/>
          <w:color w:val="auto"/>
          <w:sz w:val="32"/>
          <w:szCs w:val="32"/>
        </w:rPr>
        <w:t>相应调整</w:t>
      </w:r>
      <w:r>
        <w:rPr>
          <w:rFonts w:hint="eastAsia" w:ascii="仿宋" w:hAnsi="仿宋" w:eastAsia="仿宋"/>
          <w:color w:val="auto"/>
          <w:sz w:val="32"/>
          <w:szCs w:val="32"/>
          <w:lang w:eastAsia="zh-CN"/>
        </w:rPr>
        <w:t>；</w:t>
      </w:r>
    </w:p>
    <w:p>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default" w:ascii="仿宋" w:hAnsi="仿宋" w:eastAsia="仿宋"/>
          <w:color w:val="auto"/>
          <w:sz w:val="32"/>
          <w:szCs w:val="32"/>
          <w:lang w:val="en"/>
        </w:rPr>
      </w:pPr>
      <w:r>
        <w:rPr>
          <w:rFonts w:hint="default" w:ascii="仿宋" w:hAnsi="仿宋" w:eastAsia="仿宋"/>
          <w:color w:val="auto"/>
          <w:sz w:val="32"/>
          <w:szCs w:val="32"/>
          <w:lang w:val="en"/>
        </w:rPr>
        <w:t>（</w:t>
      </w:r>
      <w:r>
        <w:rPr>
          <w:rFonts w:hint="eastAsia" w:ascii="仿宋" w:hAnsi="仿宋" w:eastAsia="仿宋"/>
          <w:color w:val="auto"/>
          <w:sz w:val="32"/>
          <w:szCs w:val="32"/>
        </w:rPr>
        <w:t>四</w:t>
      </w:r>
      <w:r>
        <w:rPr>
          <w:rFonts w:hint="eastAsia" w:ascii="仿宋" w:hAnsi="仿宋" w:eastAsia="仿宋"/>
          <w:color w:val="auto"/>
          <w:sz w:val="32"/>
          <w:szCs w:val="32"/>
          <w:lang w:eastAsia="zh-CN"/>
        </w:rPr>
        <w:t>）</w:t>
      </w:r>
      <w:r>
        <w:rPr>
          <w:rFonts w:hint="eastAsia" w:ascii="仿宋" w:hAnsi="仿宋" w:eastAsia="仿宋"/>
          <w:color w:val="auto"/>
          <w:sz w:val="32"/>
          <w:szCs w:val="32"/>
        </w:rPr>
        <w:t>下列医疗费用不纳入基本医疗保险基金支付范围</w:t>
      </w:r>
      <w:r>
        <w:rPr>
          <w:rFonts w:hint="default" w:ascii="仿宋" w:hAnsi="仿宋" w:eastAsia="仿宋"/>
          <w:color w:val="auto"/>
          <w:sz w:val="32"/>
          <w:szCs w:val="32"/>
          <w:lang w:val="en"/>
        </w:rPr>
        <w:t>：</w:t>
      </w:r>
    </w:p>
    <w:p>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eastAsia" w:ascii="仿宋" w:hAnsi="仿宋" w:eastAsia="仿宋"/>
          <w:color w:val="auto"/>
          <w:sz w:val="32"/>
          <w:szCs w:val="32"/>
          <w:lang w:eastAsia="zh-CN"/>
        </w:rPr>
      </w:pPr>
      <w:r>
        <w:rPr>
          <w:rFonts w:hint="eastAsia" w:ascii="仿宋" w:hAnsi="仿宋" w:eastAsia="仿宋"/>
          <w:color w:val="auto"/>
          <w:sz w:val="32"/>
          <w:szCs w:val="32"/>
        </w:rPr>
        <w:t>1</w:t>
      </w:r>
      <w:r>
        <w:rPr>
          <w:rFonts w:hint="eastAsia" w:ascii="仿宋" w:hAnsi="仿宋" w:eastAsia="仿宋"/>
          <w:color w:val="auto"/>
          <w:sz w:val="32"/>
          <w:szCs w:val="32"/>
          <w:lang w:eastAsia="zh-CN"/>
        </w:rPr>
        <w:t>.</w:t>
      </w:r>
      <w:r>
        <w:rPr>
          <w:rFonts w:hint="eastAsia" w:ascii="仿宋" w:hAnsi="仿宋" w:eastAsia="仿宋"/>
          <w:color w:val="auto"/>
          <w:sz w:val="32"/>
          <w:szCs w:val="32"/>
        </w:rPr>
        <w:t>应当从工伤保险基金中支付的</w:t>
      </w:r>
      <w:r>
        <w:rPr>
          <w:rFonts w:hint="eastAsia" w:ascii="仿宋" w:hAnsi="仿宋" w:eastAsia="仿宋"/>
          <w:color w:val="auto"/>
          <w:sz w:val="32"/>
          <w:szCs w:val="32"/>
          <w:lang w:eastAsia="zh-CN"/>
        </w:rPr>
        <w:t>；</w:t>
      </w:r>
      <w:r>
        <w:rPr>
          <w:rFonts w:hint="eastAsia" w:ascii="仿宋" w:hAnsi="仿宋" w:eastAsia="仿宋"/>
          <w:color w:val="auto"/>
          <w:sz w:val="32"/>
          <w:szCs w:val="32"/>
        </w:rPr>
        <w:br w:type="textWrapping"/>
      </w:r>
      <w:r>
        <w:rPr>
          <w:rFonts w:hint="eastAsia" w:ascii="仿宋" w:hAnsi="仿宋" w:eastAsia="仿宋"/>
          <w:color w:val="auto"/>
          <w:sz w:val="32"/>
          <w:szCs w:val="32"/>
        </w:rPr>
        <w:t>　　2</w:t>
      </w:r>
      <w:r>
        <w:rPr>
          <w:rFonts w:hint="eastAsia" w:ascii="仿宋" w:hAnsi="仿宋" w:eastAsia="仿宋"/>
          <w:color w:val="auto"/>
          <w:sz w:val="32"/>
          <w:szCs w:val="32"/>
          <w:lang w:val="en-US" w:eastAsia="zh-CN"/>
        </w:rPr>
        <w:t>.</w:t>
      </w:r>
      <w:r>
        <w:rPr>
          <w:rFonts w:hint="eastAsia" w:ascii="仿宋" w:hAnsi="仿宋" w:eastAsia="仿宋"/>
          <w:color w:val="auto"/>
          <w:sz w:val="32"/>
          <w:szCs w:val="32"/>
        </w:rPr>
        <w:t>应当由第三人负担的</w:t>
      </w:r>
      <w:r>
        <w:rPr>
          <w:rFonts w:hint="eastAsia" w:ascii="仿宋" w:hAnsi="仿宋" w:eastAsia="仿宋"/>
          <w:color w:val="auto"/>
          <w:sz w:val="32"/>
          <w:szCs w:val="32"/>
          <w:lang w:eastAsia="zh-CN"/>
        </w:rPr>
        <w:t>；</w:t>
      </w:r>
      <w:r>
        <w:rPr>
          <w:rFonts w:hint="eastAsia" w:ascii="仿宋" w:hAnsi="仿宋" w:eastAsia="仿宋"/>
          <w:color w:val="auto"/>
          <w:sz w:val="32"/>
          <w:szCs w:val="32"/>
        </w:rPr>
        <w:br w:type="textWrapping"/>
      </w:r>
      <w:r>
        <w:rPr>
          <w:rFonts w:hint="eastAsia" w:ascii="仿宋" w:hAnsi="仿宋" w:eastAsia="仿宋"/>
          <w:color w:val="auto"/>
          <w:sz w:val="32"/>
          <w:szCs w:val="32"/>
        </w:rPr>
        <w:t>　　3</w:t>
      </w:r>
      <w:r>
        <w:rPr>
          <w:rFonts w:hint="default" w:ascii="仿宋" w:hAnsi="仿宋" w:eastAsia="仿宋"/>
          <w:color w:val="auto"/>
          <w:sz w:val="32"/>
          <w:szCs w:val="32"/>
          <w:lang w:val="en"/>
        </w:rPr>
        <w:t>.</w:t>
      </w:r>
      <w:r>
        <w:rPr>
          <w:rFonts w:hint="eastAsia" w:ascii="仿宋" w:hAnsi="仿宋" w:eastAsia="仿宋"/>
          <w:color w:val="auto"/>
          <w:sz w:val="32"/>
          <w:szCs w:val="32"/>
        </w:rPr>
        <w:t>应当由公共卫生负担的</w:t>
      </w:r>
      <w:r>
        <w:rPr>
          <w:rFonts w:hint="eastAsia" w:ascii="仿宋" w:hAnsi="仿宋" w:eastAsia="仿宋"/>
          <w:color w:val="auto"/>
          <w:sz w:val="32"/>
          <w:szCs w:val="32"/>
          <w:lang w:eastAsia="zh-CN"/>
        </w:rPr>
        <w:t>；</w:t>
      </w:r>
      <w:r>
        <w:rPr>
          <w:rFonts w:hint="eastAsia" w:ascii="仿宋" w:hAnsi="仿宋" w:eastAsia="仿宋"/>
          <w:color w:val="auto"/>
          <w:sz w:val="32"/>
          <w:szCs w:val="32"/>
        </w:rPr>
        <w:br w:type="textWrapping"/>
      </w:r>
      <w:r>
        <w:rPr>
          <w:rFonts w:hint="eastAsia" w:ascii="仿宋" w:hAnsi="仿宋" w:eastAsia="仿宋"/>
          <w:color w:val="auto"/>
          <w:sz w:val="32"/>
          <w:szCs w:val="32"/>
        </w:rPr>
        <w:t>　　4</w:t>
      </w:r>
      <w:r>
        <w:rPr>
          <w:rFonts w:hint="default" w:ascii="仿宋" w:hAnsi="仿宋" w:eastAsia="仿宋"/>
          <w:color w:val="auto"/>
          <w:sz w:val="32"/>
          <w:szCs w:val="32"/>
          <w:lang w:val="en"/>
        </w:rPr>
        <w:t>.</w:t>
      </w:r>
      <w:r>
        <w:rPr>
          <w:rFonts w:hint="eastAsia" w:ascii="仿宋" w:hAnsi="仿宋" w:eastAsia="仿宋"/>
          <w:color w:val="auto"/>
          <w:sz w:val="32"/>
          <w:szCs w:val="32"/>
        </w:rPr>
        <w:t>境外就医的</w:t>
      </w:r>
      <w:r>
        <w:rPr>
          <w:rFonts w:hint="eastAsia" w:ascii="仿宋" w:hAnsi="仿宋" w:eastAsia="仿宋"/>
          <w:color w:val="auto"/>
          <w:sz w:val="32"/>
          <w:szCs w:val="32"/>
          <w:lang w:eastAsia="zh-CN"/>
        </w:rPr>
        <w:t>；</w:t>
      </w:r>
      <w:r>
        <w:rPr>
          <w:rFonts w:hint="eastAsia" w:ascii="仿宋" w:hAnsi="仿宋" w:eastAsia="仿宋"/>
          <w:color w:val="auto"/>
          <w:sz w:val="32"/>
          <w:szCs w:val="32"/>
        </w:rPr>
        <w:br w:type="textWrapping"/>
      </w:r>
      <w:r>
        <w:rPr>
          <w:rFonts w:hint="eastAsia" w:ascii="仿宋" w:hAnsi="仿宋" w:eastAsia="仿宋"/>
          <w:color w:val="auto"/>
          <w:sz w:val="32"/>
          <w:szCs w:val="32"/>
        </w:rPr>
        <w:t>　　5</w:t>
      </w:r>
      <w:r>
        <w:rPr>
          <w:rFonts w:hint="default" w:ascii="仿宋" w:hAnsi="仿宋" w:eastAsia="仿宋"/>
          <w:color w:val="auto"/>
          <w:sz w:val="32"/>
          <w:szCs w:val="32"/>
          <w:lang w:val="en"/>
        </w:rPr>
        <w:t>.</w:t>
      </w:r>
      <w:r>
        <w:rPr>
          <w:rFonts w:hint="eastAsia" w:ascii="仿宋" w:hAnsi="仿宋" w:eastAsia="仿宋"/>
          <w:color w:val="auto"/>
          <w:sz w:val="32"/>
          <w:szCs w:val="32"/>
          <w:lang w:eastAsia="zh-CN"/>
        </w:rPr>
        <w:t>体育健身、养生保健消费、健康体检；</w:t>
      </w:r>
    </w:p>
    <w:p>
      <w:pPr>
        <w:keepNext w:val="0"/>
        <w:keepLines w:val="0"/>
        <w:pageBreakBefore w:val="0"/>
        <w:kinsoku/>
        <w:wordWrap/>
        <w:overflowPunct/>
        <w:topLinePunct w:val="0"/>
        <w:autoSpaceDE/>
        <w:autoSpaceDN/>
        <w:bidi w:val="0"/>
        <w:snapToGrid/>
        <w:spacing w:line="580" w:lineRule="exact"/>
        <w:ind w:firstLine="640" w:firstLineChars="200"/>
        <w:textAlignment w:val="auto"/>
        <w:rPr>
          <w:rFonts w:ascii="仿宋" w:hAnsi="仿宋" w:eastAsia="仿宋"/>
          <w:color w:val="auto"/>
          <w:sz w:val="32"/>
          <w:szCs w:val="32"/>
        </w:rPr>
      </w:pPr>
      <w:r>
        <w:rPr>
          <w:rFonts w:hint="eastAsia" w:ascii="仿宋" w:hAnsi="仿宋" w:eastAsia="仿宋"/>
          <w:color w:val="auto"/>
          <w:sz w:val="32"/>
          <w:szCs w:val="32"/>
          <w:lang w:val="en-US" w:eastAsia="zh-CN"/>
        </w:rPr>
        <w:t>6.国家规定的基本医疗保险基金不予支付的其他费用。对经济社会发展有重大影响的，经法定程序，可作临时调整。</w:t>
      </w:r>
      <w:r>
        <w:rPr>
          <w:rFonts w:hint="eastAsia" w:ascii="仿宋" w:hAnsi="仿宋" w:eastAsia="仿宋"/>
          <w:color w:val="auto"/>
          <w:sz w:val="32"/>
          <w:szCs w:val="32"/>
        </w:rPr>
        <w:br w:type="textWrapping"/>
      </w:r>
      <w:r>
        <w:rPr>
          <w:rFonts w:hint="eastAsia" w:ascii="仿宋" w:hAnsi="仿宋" w:eastAsia="仿宋"/>
          <w:color w:val="auto"/>
          <w:sz w:val="32"/>
          <w:szCs w:val="32"/>
        </w:rPr>
        <w:t>　　医疗费用依法应</w:t>
      </w:r>
      <w:bookmarkStart w:id="2" w:name="_GoBack"/>
      <w:bookmarkEnd w:id="2"/>
      <w:r>
        <w:rPr>
          <w:rFonts w:hint="eastAsia" w:ascii="仿宋" w:hAnsi="仿宋" w:eastAsia="仿宋"/>
          <w:color w:val="auto"/>
          <w:sz w:val="32"/>
          <w:szCs w:val="32"/>
        </w:rPr>
        <w:t>当由第三人负担，第三人不支付或者无法确定第三人的，由基本医疗保险基金先行支付。基本医疗保险基金先行支付后，有权向第三人追偿。</w:t>
      </w:r>
    </w:p>
    <w:p>
      <w:pPr>
        <w:keepNext w:val="0"/>
        <w:keepLines w:val="0"/>
        <w:pageBreakBefore w:val="0"/>
        <w:kinsoku/>
        <w:wordWrap/>
        <w:overflowPunct/>
        <w:topLinePunct w:val="0"/>
        <w:autoSpaceDE/>
        <w:autoSpaceDN/>
        <w:bidi w:val="0"/>
        <w:snapToGrid/>
        <w:spacing w:line="580" w:lineRule="exact"/>
        <w:ind w:firstLine="640" w:firstLineChars="200"/>
        <w:textAlignment w:val="auto"/>
        <w:rPr>
          <w:rFonts w:hint="default" w:ascii="仿宋" w:hAnsi="仿宋" w:eastAsia="仿宋" w:cs="仿宋"/>
          <w:color w:val="auto"/>
          <w:sz w:val="32"/>
          <w:szCs w:val="32"/>
          <w:lang w:val="en-US" w:eastAsia="zh-CN"/>
        </w:rPr>
      </w:pPr>
      <w:r>
        <w:rPr>
          <w:rFonts w:hint="eastAsia" w:ascii="黑体" w:hAnsi="黑体" w:eastAsia="黑体" w:cs="黑体"/>
          <w:color w:val="auto"/>
          <w:sz w:val="32"/>
          <w:szCs w:val="32"/>
        </w:rPr>
        <w:t>第</w:t>
      </w:r>
      <w:r>
        <w:rPr>
          <w:rFonts w:hint="eastAsia" w:ascii="黑体" w:hAnsi="黑体" w:eastAsia="黑体" w:cs="黑体"/>
          <w:color w:val="auto"/>
          <w:sz w:val="32"/>
          <w:szCs w:val="32"/>
          <w:lang w:eastAsia="zh-CN"/>
        </w:rPr>
        <w:t>十九</w:t>
      </w:r>
      <w:r>
        <w:rPr>
          <w:rFonts w:hint="eastAsia" w:ascii="黑体" w:hAnsi="黑体" w:eastAsia="黑体" w:cs="黑体"/>
          <w:color w:val="auto"/>
          <w:sz w:val="32"/>
          <w:szCs w:val="32"/>
        </w:rPr>
        <w:t>条</w:t>
      </w:r>
      <w:r>
        <w:rPr>
          <w:rFonts w:hint="eastAsia" w:ascii="黑体" w:hAnsi="黑体" w:eastAsia="黑体" w:cs="黑体"/>
          <w:color w:val="auto"/>
          <w:sz w:val="32"/>
          <w:szCs w:val="32"/>
          <w:lang w:val="en-US" w:eastAsia="zh-CN"/>
        </w:rPr>
        <w:t xml:space="preserve">  </w:t>
      </w:r>
      <w:r>
        <w:rPr>
          <w:rFonts w:hint="eastAsia" w:ascii="仿宋" w:hAnsi="仿宋" w:eastAsia="仿宋"/>
          <w:color w:val="auto"/>
          <w:sz w:val="32"/>
          <w:szCs w:val="32"/>
        </w:rPr>
        <w:t>办理跨省临时外出备案人员就诊医院按异地就医有关规定执行，其</w:t>
      </w:r>
      <w:r>
        <w:rPr>
          <w:rFonts w:hint="eastAsia" w:ascii="仿宋" w:hAnsi="仿宋" w:eastAsia="仿宋" w:cs="仿宋"/>
          <w:color w:val="auto"/>
          <w:sz w:val="32"/>
          <w:szCs w:val="32"/>
        </w:rPr>
        <w:t>住院医疗费用统筹基金支付比例在</w:t>
      </w:r>
      <w:r>
        <w:rPr>
          <w:rFonts w:hint="eastAsia" w:ascii="仿宋" w:hAnsi="仿宋" w:eastAsia="仿宋" w:cs="仿宋"/>
          <w:color w:val="auto"/>
          <w:sz w:val="32"/>
          <w:szCs w:val="32"/>
          <w:highlight w:val="none"/>
        </w:rPr>
        <w:t>第</w:t>
      </w:r>
      <w:r>
        <w:rPr>
          <w:rFonts w:hint="eastAsia" w:ascii="仿宋" w:hAnsi="仿宋" w:eastAsia="仿宋" w:cs="仿宋"/>
          <w:color w:val="auto"/>
          <w:sz w:val="32"/>
          <w:szCs w:val="32"/>
          <w:highlight w:val="none"/>
          <w:lang w:eastAsia="zh-CN"/>
        </w:rPr>
        <w:t>十八</w:t>
      </w:r>
      <w:r>
        <w:rPr>
          <w:rFonts w:hint="eastAsia" w:ascii="仿宋" w:hAnsi="仿宋" w:eastAsia="仿宋" w:cs="仿宋"/>
          <w:color w:val="auto"/>
          <w:sz w:val="32"/>
          <w:szCs w:val="32"/>
          <w:highlight w:val="none"/>
        </w:rPr>
        <w:t>条规</w:t>
      </w:r>
      <w:r>
        <w:rPr>
          <w:rFonts w:hint="eastAsia" w:ascii="仿宋" w:hAnsi="仿宋" w:eastAsia="仿宋" w:cs="仿宋"/>
          <w:color w:val="auto"/>
          <w:sz w:val="32"/>
          <w:szCs w:val="32"/>
        </w:rPr>
        <w:t>定基础上降低5%。</w:t>
      </w:r>
    </w:p>
    <w:p>
      <w:pPr>
        <w:keepNext w:val="0"/>
        <w:keepLines w:val="0"/>
        <w:pageBreakBefore w:val="0"/>
        <w:kinsoku/>
        <w:wordWrap/>
        <w:overflowPunct/>
        <w:topLinePunct w:val="0"/>
        <w:autoSpaceDE/>
        <w:autoSpaceDN/>
        <w:bidi w:val="0"/>
        <w:snapToGrid/>
        <w:spacing w:line="580" w:lineRule="exact"/>
        <w:ind w:firstLine="640" w:firstLineChars="200"/>
        <w:textAlignment w:val="auto"/>
        <w:rPr>
          <w:rFonts w:ascii="仿宋" w:hAnsi="仿宋" w:eastAsia="仿宋" w:cs="仿宋"/>
          <w:color w:val="auto"/>
          <w:sz w:val="32"/>
          <w:szCs w:val="32"/>
        </w:rPr>
      </w:pPr>
      <w:r>
        <w:rPr>
          <w:rFonts w:hint="eastAsia" w:ascii="黑体" w:hAnsi="黑体" w:eastAsia="黑体" w:cs="黑体"/>
          <w:color w:val="auto"/>
          <w:sz w:val="32"/>
          <w:szCs w:val="32"/>
        </w:rPr>
        <w:t>第二十条</w:t>
      </w:r>
      <w:r>
        <w:rPr>
          <w:rFonts w:hint="eastAsia" w:ascii="黑体" w:hAnsi="黑体" w:eastAsia="黑体" w:cs="黑体"/>
          <w:color w:val="auto"/>
          <w:sz w:val="32"/>
          <w:szCs w:val="32"/>
          <w:lang w:val="en-US" w:eastAsia="zh-CN"/>
        </w:rPr>
        <w:t xml:space="preserve">  </w:t>
      </w:r>
      <w:r>
        <w:rPr>
          <w:rFonts w:hint="eastAsia" w:ascii="仿宋" w:hAnsi="仿宋" w:eastAsia="仿宋" w:cs="仿宋"/>
          <w:color w:val="auto"/>
          <w:sz w:val="32"/>
          <w:szCs w:val="32"/>
        </w:rPr>
        <w:t>参保人员使用乙类药品</w:t>
      </w:r>
      <w:r>
        <w:rPr>
          <w:rFonts w:hint="eastAsia" w:ascii="仿宋" w:hAnsi="仿宋" w:eastAsia="仿宋" w:cs="仿宋"/>
          <w:color w:val="auto"/>
          <w:sz w:val="32"/>
          <w:szCs w:val="32"/>
          <w:lang w:eastAsia="zh-CN"/>
        </w:rPr>
        <w:t>和用</w:t>
      </w:r>
      <w:r>
        <w:rPr>
          <w:rFonts w:hint="eastAsia" w:ascii="仿宋" w:hAnsi="仿宋" w:eastAsia="仿宋" w:cs="仿宋"/>
          <w:color w:val="auto"/>
          <w:sz w:val="32"/>
          <w:szCs w:val="32"/>
        </w:rPr>
        <w:t>基本医疗保险支付部分费用诊疗项目</w:t>
      </w:r>
      <w:r>
        <w:rPr>
          <w:rFonts w:hint="eastAsia" w:ascii="仿宋" w:hAnsi="仿宋" w:eastAsia="仿宋" w:cs="仿宋"/>
          <w:color w:val="auto"/>
          <w:sz w:val="32"/>
          <w:szCs w:val="32"/>
          <w:lang w:eastAsia="zh-CN"/>
        </w:rPr>
        <w:t>治疗</w:t>
      </w:r>
      <w:r>
        <w:rPr>
          <w:rFonts w:hint="eastAsia" w:ascii="仿宋" w:hAnsi="仿宋" w:eastAsia="仿宋" w:cs="仿宋"/>
          <w:color w:val="auto"/>
          <w:sz w:val="32"/>
          <w:szCs w:val="32"/>
        </w:rPr>
        <w:t>的，在抢救、急救期间按医嘱使用血液制品、蛋白类制品的，其费用均由本人</w:t>
      </w:r>
      <w:r>
        <w:rPr>
          <w:rFonts w:hint="eastAsia" w:ascii="仿宋" w:hAnsi="仿宋" w:eastAsia="仿宋" w:cs="仿宋"/>
          <w:color w:val="auto"/>
          <w:sz w:val="32"/>
          <w:szCs w:val="32"/>
          <w:lang w:eastAsia="zh-CN"/>
        </w:rPr>
        <w:t>自负</w:t>
      </w:r>
      <w:r>
        <w:rPr>
          <w:rFonts w:hint="eastAsia" w:ascii="仿宋" w:hAnsi="仿宋" w:eastAsia="仿宋" w:cs="仿宋"/>
          <w:color w:val="auto"/>
          <w:sz w:val="32"/>
          <w:szCs w:val="32"/>
        </w:rPr>
        <w:t>10%</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其余部分由统筹基金和个人按规定比例支付。</w:t>
      </w:r>
    </w:p>
    <w:p>
      <w:pPr>
        <w:pStyle w:val="10"/>
        <w:keepNext w:val="0"/>
        <w:keepLines w:val="0"/>
        <w:pageBreakBefore w:val="0"/>
        <w:widowControl/>
        <w:kinsoku/>
        <w:wordWrap/>
        <w:overflowPunct/>
        <w:topLinePunct w:val="0"/>
        <w:autoSpaceDE/>
        <w:autoSpaceDN/>
        <w:bidi w:val="0"/>
        <w:snapToGrid/>
        <w:spacing w:line="580" w:lineRule="exact"/>
        <w:ind w:firstLine="640" w:firstLineChars="200"/>
        <w:textAlignment w:val="auto"/>
        <w:rPr>
          <w:rFonts w:ascii="仿宋" w:hAnsi="仿宋" w:eastAsia="仿宋" w:cs="仿宋"/>
          <w:color w:val="auto"/>
          <w:sz w:val="32"/>
          <w:szCs w:val="32"/>
        </w:rPr>
      </w:pPr>
      <w:r>
        <w:rPr>
          <w:rFonts w:hint="eastAsia" w:ascii="仿宋" w:hAnsi="仿宋" w:eastAsia="仿宋" w:cs="仿宋"/>
          <w:color w:val="auto"/>
          <w:kern w:val="0"/>
          <w:sz w:val="32"/>
          <w:szCs w:val="32"/>
        </w:rPr>
        <w:t>医用耗材自付比例按自治区医疗保障有关规定执行，其余部分由统筹基金和个人按规定比例支付。</w:t>
      </w:r>
    </w:p>
    <w:p>
      <w:pPr>
        <w:keepNext w:val="0"/>
        <w:keepLines w:val="0"/>
        <w:pageBreakBefore w:val="0"/>
        <w:kinsoku/>
        <w:wordWrap/>
        <w:overflowPunct/>
        <w:topLinePunct w:val="0"/>
        <w:autoSpaceDE/>
        <w:autoSpaceDN/>
        <w:bidi w:val="0"/>
        <w:snapToGrid/>
        <w:spacing w:line="580" w:lineRule="exact"/>
        <w:ind w:firstLine="640" w:firstLineChars="200"/>
        <w:textAlignment w:val="auto"/>
        <w:rPr>
          <w:rFonts w:ascii="仿宋" w:hAnsi="仿宋" w:eastAsia="仿宋" w:cs="仿宋"/>
          <w:color w:val="auto"/>
          <w:sz w:val="32"/>
          <w:szCs w:val="32"/>
        </w:rPr>
      </w:pPr>
      <w:r>
        <w:rPr>
          <w:rFonts w:hint="eastAsia" w:ascii="黑体" w:hAnsi="黑体" w:eastAsia="黑体" w:cs="黑体"/>
          <w:color w:val="auto"/>
          <w:sz w:val="32"/>
          <w:szCs w:val="32"/>
        </w:rPr>
        <w:t>第二十</w:t>
      </w:r>
      <w:r>
        <w:rPr>
          <w:rFonts w:hint="eastAsia" w:ascii="黑体" w:hAnsi="黑体" w:eastAsia="黑体" w:cs="黑体"/>
          <w:color w:val="auto"/>
          <w:sz w:val="32"/>
          <w:szCs w:val="32"/>
          <w:lang w:eastAsia="zh-CN"/>
        </w:rPr>
        <w:t>一</w:t>
      </w:r>
      <w:r>
        <w:rPr>
          <w:rFonts w:hint="eastAsia" w:ascii="黑体" w:hAnsi="黑体" w:eastAsia="黑体" w:cs="黑体"/>
          <w:color w:val="auto"/>
          <w:sz w:val="32"/>
          <w:szCs w:val="32"/>
        </w:rPr>
        <w:t xml:space="preserve">条  </w:t>
      </w:r>
      <w:r>
        <w:rPr>
          <w:rFonts w:hint="eastAsia" w:ascii="仿宋" w:hAnsi="仿宋" w:eastAsia="仿宋" w:cs="仿宋"/>
          <w:color w:val="auto"/>
          <w:sz w:val="32"/>
          <w:szCs w:val="32"/>
        </w:rPr>
        <w:t>跨省异地长期居住人员办理异地就医备案后，可在就医地</w:t>
      </w:r>
      <w:r>
        <w:rPr>
          <w:rFonts w:hint="eastAsia" w:ascii="仿宋" w:hAnsi="仿宋" w:eastAsia="仿宋" w:cs="仿宋"/>
          <w:color w:val="auto"/>
          <w:sz w:val="32"/>
          <w:szCs w:val="32"/>
          <w:lang w:eastAsia="zh-CN"/>
        </w:rPr>
        <w:t>医疗保险</w:t>
      </w:r>
      <w:r>
        <w:rPr>
          <w:rFonts w:hint="eastAsia" w:ascii="仿宋" w:hAnsi="仿宋" w:eastAsia="仿宋" w:cs="仿宋"/>
          <w:color w:val="auto"/>
          <w:sz w:val="32"/>
          <w:szCs w:val="32"/>
        </w:rPr>
        <w:t>定点医院及定点零售药店就医购药。发生的住院医疗费在所住医院实时报销，未能直接报销的医疗费用由本人垫付，就医结束后，持有效凭证到</w:t>
      </w:r>
      <w:r>
        <w:rPr>
          <w:rFonts w:hint="eastAsia" w:ascii="仿宋" w:hAnsi="仿宋" w:eastAsia="仿宋"/>
          <w:color w:val="auto"/>
          <w:sz w:val="32"/>
          <w:szCs w:val="32"/>
        </w:rPr>
        <w:t>医疗保险</w:t>
      </w:r>
      <w:r>
        <w:rPr>
          <w:rFonts w:hint="eastAsia" w:ascii="仿宋" w:hAnsi="仿宋" w:eastAsia="仿宋" w:cs="仿宋"/>
          <w:color w:val="auto"/>
          <w:sz w:val="32"/>
          <w:szCs w:val="32"/>
        </w:rPr>
        <w:t>经办窗口办理报销手续。</w:t>
      </w:r>
    </w:p>
    <w:p>
      <w:pPr>
        <w:keepNext w:val="0"/>
        <w:keepLines w:val="0"/>
        <w:pageBreakBefore w:val="0"/>
        <w:kinsoku/>
        <w:wordWrap/>
        <w:overflowPunct/>
        <w:topLinePunct w:val="0"/>
        <w:autoSpaceDE/>
        <w:autoSpaceDN/>
        <w:bidi w:val="0"/>
        <w:snapToGrid/>
        <w:spacing w:line="580" w:lineRule="exact"/>
        <w:ind w:firstLine="640" w:firstLineChars="200"/>
        <w:textAlignment w:val="auto"/>
        <w:rPr>
          <w:rFonts w:ascii="仿宋" w:hAnsi="仿宋" w:eastAsia="仿宋" w:cs="仿宋"/>
          <w:color w:val="auto"/>
          <w:sz w:val="32"/>
          <w:szCs w:val="32"/>
          <w:highlight w:val="none"/>
        </w:rPr>
      </w:pPr>
      <w:r>
        <w:rPr>
          <w:rFonts w:hint="eastAsia" w:ascii="黑体" w:hAnsi="黑体" w:eastAsia="黑体" w:cs="黑体"/>
          <w:color w:val="auto"/>
          <w:sz w:val="32"/>
          <w:szCs w:val="32"/>
        </w:rPr>
        <w:t>第二十</w:t>
      </w:r>
      <w:r>
        <w:rPr>
          <w:rFonts w:hint="eastAsia" w:ascii="黑体" w:hAnsi="黑体" w:eastAsia="黑体" w:cs="黑体"/>
          <w:color w:val="auto"/>
          <w:sz w:val="32"/>
          <w:szCs w:val="32"/>
          <w:lang w:eastAsia="zh-CN"/>
        </w:rPr>
        <w:t>二</w:t>
      </w:r>
      <w:r>
        <w:rPr>
          <w:rFonts w:hint="eastAsia" w:ascii="黑体" w:hAnsi="黑体" w:eastAsia="黑体" w:cs="黑体"/>
          <w:color w:val="auto"/>
          <w:sz w:val="32"/>
          <w:szCs w:val="32"/>
        </w:rPr>
        <w:t xml:space="preserve">条  </w:t>
      </w:r>
      <w:r>
        <w:rPr>
          <w:rFonts w:hint="eastAsia" w:ascii="仿宋" w:hAnsi="仿宋" w:eastAsia="仿宋" w:cs="仿宋"/>
          <w:color w:val="auto"/>
          <w:sz w:val="32"/>
          <w:szCs w:val="32"/>
        </w:rPr>
        <w:t>参保人员跨省因公出差或探亲期间患突发急病，所发生的医疗费用凭有效单据、诊断书、病历到</w:t>
      </w:r>
      <w:r>
        <w:rPr>
          <w:rFonts w:hint="eastAsia" w:ascii="仿宋" w:hAnsi="仿宋" w:eastAsia="仿宋"/>
          <w:color w:val="auto"/>
          <w:sz w:val="32"/>
          <w:szCs w:val="32"/>
        </w:rPr>
        <w:t>医疗保险</w:t>
      </w:r>
      <w:r>
        <w:rPr>
          <w:rFonts w:hint="eastAsia" w:ascii="仿宋" w:hAnsi="仿宋" w:eastAsia="仿宋" w:cs="仿宋"/>
          <w:color w:val="auto"/>
          <w:sz w:val="32"/>
          <w:szCs w:val="32"/>
        </w:rPr>
        <w:t>经办窗口办理报销手续。住院医疗费用报销标准在</w:t>
      </w:r>
      <w:r>
        <w:rPr>
          <w:rFonts w:hint="eastAsia" w:ascii="仿宋" w:hAnsi="仿宋" w:eastAsia="仿宋" w:cs="仿宋"/>
          <w:color w:val="auto"/>
          <w:sz w:val="32"/>
          <w:szCs w:val="32"/>
          <w:highlight w:val="none"/>
        </w:rPr>
        <w:t>第</w:t>
      </w:r>
      <w:r>
        <w:rPr>
          <w:rFonts w:hint="eastAsia" w:ascii="仿宋" w:hAnsi="仿宋" w:eastAsia="仿宋" w:cs="仿宋"/>
          <w:color w:val="auto"/>
          <w:sz w:val="32"/>
          <w:szCs w:val="32"/>
          <w:highlight w:val="none"/>
          <w:lang w:eastAsia="zh-CN"/>
        </w:rPr>
        <w:t>十八</w:t>
      </w:r>
      <w:r>
        <w:rPr>
          <w:rFonts w:hint="eastAsia" w:ascii="仿宋" w:hAnsi="仿宋" w:eastAsia="仿宋" w:cs="仿宋"/>
          <w:color w:val="auto"/>
          <w:sz w:val="32"/>
          <w:szCs w:val="32"/>
          <w:highlight w:val="none"/>
        </w:rPr>
        <w:t>条基础上降低5%。</w:t>
      </w:r>
    </w:p>
    <w:p>
      <w:pPr>
        <w:keepNext w:val="0"/>
        <w:keepLines w:val="0"/>
        <w:pageBreakBefore w:val="0"/>
        <w:kinsoku/>
        <w:wordWrap/>
        <w:overflowPunct/>
        <w:topLinePunct w:val="0"/>
        <w:autoSpaceDE/>
        <w:autoSpaceDN/>
        <w:bidi w:val="0"/>
        <w:snapToGrid/>
        <w:spacing w:line="580" w:lineRule="exact"/>
        <w:ind w:firstLine="640" w:firstLineChars="200"/>
        <w:textAlignment w:val="auto"/>
        <w:rPr>
          <w:rFonts w:ascii="仿宋" w:hAnsi="仿宋" w:eastAsia="仿宋" w:cs="仿宋"/>
          <w:color w:val="auto"/>
          <w:sz w:val="32"/>
          <w:szCs w:val="32"/>
        </w:rPr>
      </w:pPr>
      <w:r>
        <w:rPr>
          <w:rFonts w:hint="eastAsia" w:ascii="仿宋" w:hAnsi="仿宋" w:eastAsia="仿宋" w:cs="仿宋"/>
          <w:color w:val="auto"/>
          <w:sz w:val="32"/>
          <w:szCs w:val="32"/>
          <w:highlight w:val="none"/>
        </w:rPr>
        <w:t>在自治区内因公出差、探亲患突发疾病的参保人员，其医疗费用按第</w:t>
      </w:r>
      <w:r>
        <w:rPr>
          <w:rFonts w:hint="eastAsia" w:ascii="仿宋" w:hAnsi="仿宋" w:eastAsia="仿宋" w:cs="仿宋"/>
          <w:color w:val="auto"/>
          <w:sz w:val="32"/>
          <w:szCs w:val="32"/>
          <w:highlight w:val="none"/>
          <w:lang w:eastAsia="zh-CN"/>
        </w:rPr>
        <w:t>十八</w:t>
      </w:r>
      <w:r>
        <w:rPr>
          <w:rFonts w:hint="eastAsia" w:ascii="仿宋" w:hAnsi="仿宋" w:eastAsia="仿宋" w:cs="仿宋"/>
          <w:color w:val="auto"/>
          <w:sz w:val="32"/>
          <w:szCs w:val="32"/>
          <w:highlight w:val="none"/>
        </w:rPr>
        <w:t>条报销比例执行。所发生的医疗</w:t>
      </w:r>
      <w:r>
        <w:rPr>
          <w:rFonts w:hint="eastAsia" w:ascii="仿宋" w:hAnsi="仿宋" w:eastAsia="仿宋" w:cs="仿宋"/>
          <w:color w:val="auto"/>
          <w:sz w:val="32"/>
          <w:szCs w:val="32"/>
        </w:rPr>
        <w:t>费用凭有效单据、诊断书、病历到</w:t>
      </w:r>
      <w:r>
        <w:rPr>
          <w:rFonts w:hint="eastAsia" w:ascii="仿宋" w:hAnsi="仿宋" w:eastAsia="仿宋"/>
          <w:color w:val="auto"/>
          <w:sz w:val="32"/>
          <w:szCs w:val="32"/>
        </w:rPr>
        <w:t>医疗保险</w:t>
      </w:r>
      <w:r>
        <w:rPr>
          <w:rFonts w:hint="eastAsia" w:ascii="仿宋" w:hAnsi="仿宋" w:eastAsia="仿宋" w:cs="仿宋"/>
          <w:color w:val="auto"/>
          <w:sz w:val="32"/>
          <w:szCs w:val="32"/>
        </w:rPr>
        <w:t>经办窗口办理报销手续。</w:t>
      </w:r>
    </w:p>
    <w:p>
      <w:pPr>
        <w:keepNext w:val="0"/>
        <w:keepLines w:val="0"/>
        <w:pageBreakBefore w:val="0"/>
        <w:kinsoku/>
        <w:wordWrap/>
        <w:overflowPunct/>
        <w:topLinePunct w:val="0"/>
        <w:autoSpaceDE/>
        <w:autoSpaceDN/>
        <w:bidi w:val="0"/>
        <w:snapToGrid/>
        <w:spacing w:line="580" w:lineRule="exact"/>
        <w:ind w:firstLine="640" w:firstLineChars="200"/>
        <w:textAlignment w:val="auto"/>
        <w:rPr>
          <w:rFonts w:ascii="仿宋" w:hAnsi="仿宋" w:eastAsia="仿宋" w:cs="仿宋"/>
          <w:color w:val="auto"/>
          <w:sz w:val="32"/>
          <w:szCs w:val="32"/>
          <w:highlight w:val="yellow"/>
        </w:rPr>
      </w:pPr>
      <w:r>
        <w:rPr>
          <w:rFonts w:hint="eastAsia" w:ascii="黑体" w:hAnsi="黑体" w:eastAsia="黑体" w:cs="黑体"/>
          <w:color w:val="auto"/>
          <w:sz w:val="32"/>
          <w:szCs w:val="32"/>
        </w:rPr>
        <w:t>第二十</w:t>
      </w:r>
      <w:r>
        <w:rPr>
          <w:rFonts w:hint="eastAsia" w:ascii="黑体" w:hAnsi="黑体" w:eastAsia="黑体" w:cs="黑体"/>
          <w:color w:val="auto"/>
          <w:sz w:val="32"/>
          <w:szCs w:val="32"/>
          <w:lang w:eastAsia="zh-CN"/>
        </w:rPr>
        <w:t>三</w:t>
      </w:r>
      <w:r>
        <w:rPr>
          <w:rFonts w:hint="eastAsia" w:ascii="黑体" w:hAnsi="黑体" w:eastAsia="黑体" w:cs="黑体"/>
          <w:color w:val="auto"/>
          <w:sz w:val="32"/>
          <w:szCs w:val="32"/>
        </w:rPr>
        <w:t xml:space="preserve">条  </w:t>
      </w:r>
      <w:r>
        <w:rPr>
          <w:rFonts w:hint="eastAsia" w:ascii="仿宋" w:hAnsi="仿宋" w:eastAsia="仿宋" w:cs="仿宋"/>
          <w:color w:val="auto"/>
          <w:sz w:val="32"/>
          <w:szCs w:val="32"/>
        </w:rPr>
        <w:t>参保单位</w:t>
      </w:r>
      <w:r>
        <w:rPr>
          <w:rFonts w:hint="default" w:ascii="仿宋" w:hAnsi="仿宋" w:eastAsia="仿宋" w:cs="仿宋"/>
          <w:color w:val="auto"/>
          <w:sz w:val="32"/>
          <w:szCs w:val="32"/>
          <w:lang w:val="en"/>
        </w:rPr>
        <w:t>（</w:t>
      </w:r>
      <w:r>
        <w:rPr>
          <w:rFonts w:hint="eastAsia" w:ascii="仿宋" w:hAnsi="仿宋" w:eastAsia="仿宋" w:cs="仿宋"/>
          <w:color w:val="auto"/>
          <w:sz w:val="32"/>
          <w:szCs w:val="32"/>
        </w:rPr>
        <w:t>灵活就业人员）欠缴基本医疗保险费，从欠费当月起所发生的医疗费用，统筹基金暂停支付，待补缴欠费后可办理报销手续。</w:t>
      </w:r>
    </w:p>
    <w:p>
      <w:pPr>
        <w:keepNext w:val="0"/>
        <w:keepLines w:val="0"/>
        <w:pageBreakBefore w:val="0"/>
        <w:kinsoku/>
        <w:wordWrap/>
        <w:overflowPunct/>
        <w:topLinePunct w:val="0"/>
        <w:autoSpaceDE/>
        <w:autoSpaceDN/>
        <w:bidi w:val="0"/>
        <w:snapToGrid/>
        <w:spacing w:line="580" w:lineRule="exact"/>
        <w:ind w:firstLine="640" w:firstLineChars="200"/>
        <w:textAlignment w:val="auto"/>
        <w:rPr>
          <w:rFonts w:hint="eastAsia" w:ascii="仿宋" w:hAnsi="仿宋" w:eastAsia="仿宋" w:cs="仿宋"/>
          <w:color w:val="auto"/>
          <w:sz w:val="32"/>
          <w:szCs w:val="32"/>
          <w:lang w:eastAsia="zh-CN"/>
        </w:rPr>
      </w:pPr>
      <w:r>
        <w:rPr>
          <w:rFonts w:hint="eastAsia" w:ascii="黑体" w:hAnsi="黑体" w:eastAsia="黑体" w:cs="黑体"/>
          <w:color w:val="auto"/>
          <w:sz w:val="32"/>
          <w:szCs w:val="32"/>
        </w:rPr>
        <w:t>第二十</w:t>
      </w:r>
      <w:r>
        <w:rPr>
          <w:rFonts w:hint="eastAsia" w:ascii="黑体" w:hAnsi="黑体" w:eastAsia="黑体" w:cs="黑体"/>
          <w:color w:val="auto"/>
          <w:sz w:val="32"/>
          <w:szCs w:val="32"/>
          <w:lang w:eastAsia="zh-CN"/>
        </w:rPr>
        <w:t>四</w:t>
      </w:r>
      <w:r>
        <w:rPr>
          <w:rFonts w:hint="eastAsia" w:ascii="黑体" w:hAnsi="黑体" w:eastAsia="黑体" w:cs="黑体"/>
          <w:color w:val="auto"/>
          <w:sz w:val="32"/>
          <w:szCs w:val="32"/>
        </w:rPr>
        <w:t xml:space="preserve">条  </w:t>
      </w:r>
      <w:r>
        <w:rPr>
          <w:rFonts w:hint="eastAsia" w:ascii="仿宋" w:hAnsi="仿宋" w:eastAsia="仿宋" w:cs="仿宋"/>
          <w:color w:val="auto"/>
          <w:sz w:val="32"/>
          <w:szCs w:val="32"/>
          <w:lang w:eastAsia="zh-CN"/>
        </w:rPr>
        <w:t>社会保险基金银行存款实行统一计息办法。对存入收入户和支出户的活期存款实行优惠利率，按三个月整存整取定期存款基准利率计息。对存入财政专户的存款，利率比照同期居民储蓄存款利率管理。</w:t>
      </w:r>
    </w:p>
    <w:p>
      <w:pPr>
        <w:keepNext w:val="0"/>
        <w:keepLines w:val="0"/>
        <w:pageBreakBefore w:val="0"/>
        <w:kinsoku/>
        <w:wordWrap/>
        <w:overflowPunct/>
        <w:topLinePunct w:val="0"/>
        <w:autoSpaceDE/>
        <w:autoSpaceDN/>
        <w:bidi w:val="0"/>
        <w:snapToGrid/>
        <w:spacing w:line="580" w:lineRule="exact"/>
        <w:ind w:firstLine="640" w:firstLineChars="200"/>
        <w:textAlignment w:val="auto"/>
        <w:rPr>
          <w:rFonts w:ascii="仿宋" w:hAnsi="仿宋" w:eastAsia="仿宋" w:cs="仿宋"/>
          <w:color w:val="auto"/>
          <w:sz w:val="32"/>
          <w:szCs w:val="32"/>
        </w:rPr>
      </w:pPr>
      <w:r>
        <w:rPr>
          <w:rFonts w:hint="eastAsia" w:ascii="黑体" w:hAnsi="黑体" w:eastAsia="黑体" w:cs="黑体"/>
          <w:color w:val="auto"/>
          <w:sz w:val="32"/>
          <w:szCs w:val="32"/>
        </w:rPr>
        <w:t>第二十</w:t>
      </w:r>
      <w:r>
        <w:rPr>
          <w:rFonts w:hint="eastAsia" w:ascii="黑体" w:hAnsi="黑体" w:eastAsia="黑体" w:cs="黑体"/>
          <w:color w:val="auto"/>
          <w:sz w:val="32"/>
          <w:szCs w:val="32"/>
          <w:lang w:eastAsia="zh-CN"/>
        </w:rPr>
        <w:t>五</w:t>
      </w:r>
      <w:r>
        <w:rPr>
          <w:rFonts w:hint="eastAsia" w:ascii="黑体" w:hAnsi="黑体" w:eastAsia="黑体" w:cs="黑体"/>
          <w:color w:val="auto"/>
          <w:sz w:val="32"/>
          <w:szCs w:val="32"/>
        </w:rPr>
        <w:t xml:space="preserve">条  </w:t>
      </w:r>
      <w:r>
        <w:rPr>
          <w:rFonts w:hint="eastAsia" w:ascii="仿宋" w:hAnsi="仿宋" w:eastAsia="仿宋" w:cs="仿宋"/>
          <w:color w:val="auto"/>
          <w:sz w:val="32"/>
          <w:szCs w:val="32"/>
        </w:rPr>
        <w:t>参保人员个人账户的本金和利息为个人所有，可以结转使用和依法继承。</w:t>
      </w:r>
    </w:p>
    <w:p>
      <w:pPr>
        <w:keepNext w:val="0"/>
        <w:keepLines w:val="0"/>
        <w:pageBreakBefore w:val="0"/>
        <w:kinsoku/>
        <w:wordWrap/>
        <w:overflowPunct/>
        <w:topLinePunct w:val="0"/>
        <w:autoSpaceDE/>
        <w:autoSpaceDN/>
        <w:bidi w:val="0"/>
        <w:snapToGrid/>
        <w:spacing w:line="580" w:lineRule="exact"/>
        <w:ind w:firstLine="640" w:firstLineChars="200"/>
        <w:textAlignment w:val="auto"/>
        <w:rPr>
          <w:rFonts w:ascii="仿宋" w:hAnsi="仿宋" w:eastAsia="仿宋" w:cs="仿宋"/>
          <w:color w:val="auto"/>
          <w:sz w:val="32"/>
          <w:szCs w:val="32"/>
        </w:rPr>
      </w:pPr>
      <w:r>
        <w:rPr>
          <w:rFonts w:hint="eastAsia" w:ascii="黑体" w:hAnsi="黑体" w:eastAsia="黑体" w:cs="黑体"/>
          <w:color w:val="auto"/>
          <w:sz w:val="32"/>
          <w:szCs w:val="32"/>
        </w:rPr>
        <w:t>第二十</w:t>
      </w:r>
      <w:r>
        <w:rPr>
          <w:rFonts w:hint="eastAsia" w:ascii="黑体" w:hAnsi="黑体" w:eastAsia="黑体" w:cs="黑体"/>
          <w:color w:val="auto"/>
          <w:sz w:val="32"/>
          <w:szCs w:val="32"/>
          <w:lang w:eastAsia="zh-CN"/>
        </w:rPr>
        <w:t>六</w:t>
      </w:r>
      <w:r>
        <w:rPr>
          <w:rFonts w:hint="eastAsia" w:ascii="黑体" w:hAnsi="黑体" w:eastAsia="黑体" w:cs="黑体"/>
          <w:color w:val="auto"/>
          <w:sz w:val="32"/>
          <w:szCs w:val="32"/>
        </w:rPr>
        <w:t xml:space="preserve">条  </w:t>
      </w:r>
      <w:r>
        <w:rPr>
          <w:rFonts w:hint="eastAsia" w:ascii="仿宋" w:hAnsi="仿宋" w:eastAsia="仿宋" w:cs="仿宋"/>
          <w:color w:val="auto"/>
          <w:sz w:val="32"/>
          <w:szCs w:val="32"/>
        </w:rPr>
        <w:t>参保人员有权对基本医疗保险基金运营情况实施监督，也有权向</w:t>
      </w:r>
      <w:r>
        <w:rPr>
          <w:rFonts w:hint="eastAsia" w:ascii="仿宋" w:hAnsi="仿宋" w:eastAsia="仿宋" w:cs="仿宋"/>
          <w:color w:val="auto"/>
          <w:sz w:val="32"/>
          <w:szCs w:val="32"/>
          <w:lang w:eastAsia="zh-CN"/>
        </w:rPr>
        <w:t>参保单位</w:t>
      </w:r>
      <w:r>
        <w:rPr>
          <w:rFonts w:hint="eastAsia" w:ascii="仿宋" w:hAnsi="仿宋" w:eastAsia="仿宋" w:cs="仿宋"/>
          <w:color w:val="auto"/>
          <w:sz w:val="32"/>
          <w:szCs w:val="32"/>
        </w:rPr>
        <w:t>和</w:t>
      </w:r>
      <w:r>
        <w:rPr>
          <w:rFonts w:hint="eastAsia" w:ascii="仿宋" w:hAnsi="仿宋" w:eastAsia="仿宋"/>
          <w:color w:val="auto"/>
          <w:sz w:val="32"/>
          <w:szCs w:val="32"/>
        </w:rPr>
        <w:t>医疗保险</w:t>
      </w:r>
      <w:r>
        <w:rPr>
          <w:rFonts w:hint="eastAsia" w:ascii="仿宋" w:hAnsi="仿宋" w:eastAsia="仿宋" w:cs="仿宋"/>
          <w:color w:val="auto"/>
          <w:sz w:val="32"/>
          <w:szCs w:val="32"/>
        </w:rPr>
        <w:t>经办机构查询本人的个人账户资金收支情况。</w:t>
      </w:r>
    </w:p>
    <w:p>
      <w:pPr>
        <w:keepNext w:val="0"/>
        <w:keepLines w:val="0"/>
        <w:pageBreakBefore w:val="0"/>
        <w:kinsoku/>
        <w:wordWrap/>
        <w:overflowPunct/>
        <w:topLinePunct w:val="0"/>
        <w:autoSpaceDE/>
        <w:autoSpaceDN/>
        <w:bidi w:val="0"/>
        <w:snapToGrid/>
        <w:spacing w:line="580" w:lineRule="exact"/>
        <w:ind w:firstLine="640" w:firstLineChars="200"/>
        <w:textAlignment w:val="auto"/>
        <w:rPr>
          <w:rFonts w:ascii="仿宋" w:hAnsi="仿宋" w:eastAsia="仿宋" w:cs="仿宋"/>
          <w:color w:val="auto"/>
          <w:sz w:val="32"/>
          <w:szCs w:val="32"/>
        </w:rPr>
      </w:pPr>
      <w:r>
        <w:rPr>
          <w:rFonts w:hint="eastAsia" w:ascii="黑体" w:hAnsi="黑体" w:eastAsia="黑体" w:cs="黑体"/>
          <w:color w:val="auto"/>
          <w:sz w:val="32"/>
          <w:szCs w:val="32"/>
        </w:rPr>
        <w:t>第</w:t>
      </w:r>
      <w:r>
        <w:rPr>
          <w:rFonts w:hint="eastAsia" w:ascii="黑体" w:hAnsi="黑体" w:eastAsia="黑体" w:cs="黑体"/>
          <w:color w:val="auto"/>
          <w:sz w:val="32"/>
          <w:szCs w:val="32"/>
          <w:lang w:val="en-US" w:eastAsia="zh-CN"/>
        </w:rPr>
        <w:t>二十七</w:t>
      </w:r>
      <w:r>
        <w:rPr>
          <w:rFonts w:hint="eastAsia" w:ascii="黑体" w:hAnsi="黑体" w:eastAsia="黑体" w:cs="黑体"/>
          <w:color w:val="auto"/>
          <w:sz w:val="32"/>
          <w:szCs w:val="32"/>
        </w:rPr>
        <w:t xml:space="preserve">条  </w:t>
      </w:r>
      <w:r>
        <w:rPr>
          <w:rFonts w:hint="eastAsia" w:ascii="仿宋" w:hAnsi="仿宋" w:eastAsia="仿宋" w:cs="仿宋"/>
          <w:color w:val="auto"/>
          <w:sz w:val="32"/>
          <w:szCs w:val="32"/>
        </w:rPr>
        <w:t>自治区本级职工基本医疗保险实行定点医药机构管理</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参保人员可自愿选择呼和浩特市</w:t>
      </w:r>
      <w:r>
        <w:rPr>
          <w:rFonts w:hint="eastAsia" w:ascii="仿宋" w:hAnsi="仿宋" w:eastAsia="仿宋" w:cs="仿宋"/>
          <w:color w:val="auto"/>
          <w:sz w:val="32"/>
          <w:szCs w:val="32"/>
          <w:lang w:eastAsia="zh-CN"/>
        </w:rPr>
        <w:t>市</w:t>
      </w:r>
      <w:r>
        <w:rPr>
          <w:rFonts w:hint="eastAsia" w:ascii="仿宋" w:hAnsi="仿宋" w:eastAsia="仿宋" w:cs="仿宋"/>
          <w:color w:val="auto"/>
          <w:sz w:val="32"/>
          <w:szCs w:val="32"/>
        </w:rPr>
        <w:t>区内任何定点医药机构就医购药。</w:t>
      </w:r>
    </w:p>
    <w:p>
      <w:pPr>
        <w:keepNext w:val="0"/>
        <w:keepLines w:val="0"/>
        <w:pageBreakBefore w:val="0"/>
        <w:kinsoku/>
        <w:wordWrap/>
        <w:overflowPunct/>
        <w:topLinePunct w:val="0"/>
        <w:autoSpaceDE/>
        <w:autoSpaceDN/>
        <w:bidi w:val="0"/>
        <w:snapToGrid/>
        <w:spacing w:line="580" w:lineRule="exact"/>
        <w:ind w:firstLine="640" w:firstLineChars="200"/>
        <w:textAlignment w:val="auto"/>
        <w:rPr>
          <w:rFonts w:ascii="仿宋" w:hAnsi="仿宋" w:eastAsia="仿宋" w:cs="仿宋"/>
          <w:color w:val="auto"/>
          <w:sz w:val="32"/>
          <w:szCs w:val="32"/>
        </w:rPr>
      </w:pPr>
      <w:r>
        <w:rPr>
          <w:rFonts w:hint="eastAsia" w:ascii="黑体" w:hAnsi="黑体" w:eastAsia="黑体" w:cs="黑体"/>
          <w:color w:val="auto"/>
          <w:sz w:val="32"/>
          <w:szCs w:val="32"/>
        </w:rPr>
        <w:t>第</w:t>
      </w:r>
      <w:r>
        <w:rPr>
          <w:rFonts w:hint="eastAsia" w:ascii="黑体" w:hAnsi="黑体" w:eastAsia="黑体" w:cs="黑体"/>
          <w:color w:val="auto"/>
          <w:sz w:val="32"/>
          <w:szCs w:val="32"/>
          <w:lang w:eastAsia="zh-CN"/>
        </w:rPr>
        <w:t>二十八</w:t>
      </w:r>
      <w:r>
        <w:rPr>
          <w:rFonts w:hint="eastAsia" w:ascii="黑体" w:hAnsi="黑体" w:eastAsia="黑体" w:cs="黑体"/>
          <w:color w:val="auto"/>
          <w:sz w:val="32"/>
          <w:szCs w:val="32"/>
        </w:rPr>
        <w:t xml:space="preserve">条  </w:t>
      </w:r>
      <w:r>
        <w:rPr>
          <w:rFonts w:hint="eastAsia" w:ascii="仿宋" w:hAnsi="仿宋" w:eastAsia="仿宋" w:cs="仿宋"/>
          <w:color w:val="auto"/>
          <w:sz w:val="32"/>
          <w:szCs w:val="32"/>
          <w:lang w:eastAsia="zh-CN"/>
        </w:rPr>
        <w:t>自治区医疗保险经办机构</w:t>
      </w:r>
      <w:r>
        <w:rPr>
          <w:rFonts w:hint="eastAsia" w:ascii="仿宋" w:hAnsi="仿宋" w:eastAsia="仿宋" w:cs="仿宋"/>
          <w:color w:val="auto"/>
          <w:sz w:val="32"/>
          <w:szCs w:val="32"/>
        </w:rPr>
        <w:t>对定点医药机构的管理采取医疗服务协议管理的模式。定点医药机构要认真履行医疗服务协议及相关</w:t>
      </w:r>
      <w:r>
        <w:rPr>
          <w:rFonts w:hint="eastAsia" w:ascii="仿宋" w:hAnsi="仿宋" w:eastAsia="仿宋"/>
          <w:color w:val="auto"/>
          <w:sz w:val="32"/>
          <w:szCs w:val="32"/>
        </w:rPr>
        <w:t>医疗保险</w:t>
      </w:r>
      <w:r>
        <w:rPr>
          <w:rFonts w:hint="eastAsia" w:ascii="仿宋" w:hAnsi="仿宋" w:eastAsia="仿宋" w:cs="仿宋"/>
          <w:color w:val="auto"/>
          <w:sz w:val="32"/>
          <w:szCs w:val="32"/>
        </w:rPr>
        <w:t>政策，</w:t>
      </w:r>
      <w:r>
        <w:rPr>
          <w:rFonts w:hint="eastAsia" w:ascii="仿宋" w:hAnsi="仿宋" w:eastAsia="仿宋"/>
          <w:color w:val="auto"/>
          <w:sz w:val="32"/>
          <w:szCs w:val="32"/>
        </w:rPr>
        <w:t>医疗保险</w:t>
      </w:r>
      <w:r>
        <w:rPr>
          <w:rFonts w:hint="eastAsia" w:ascii="仿宋" w:hAnsi="仿宋" w:eastAsia="仿宋" w:cs="仿宋"/>
          <w:color w:val="auto"/>
          <w:sz w:val="32"/>
          <w:szCs w:val="32"/>
          <w:lang w:eastAsia="zh-CN"/>
        </w:rPr>
        <w:t>患者入院三天内应办理医疗保险住院登记，</w:t>
      </w:r>
      <w:r>
        <w:rPr>
          <w:rFonts w:hint="eastAsia" w:ascii="仿宋" w:hAnsi="仿宋" w:eastAsia="仿宋" w:cs="仿宋"/>
          <w:color w:val="auto"/>
          <w:sz w:val="32"/>
          <w:szCs w:val="32"/>
        </w:rPr>
        <w:t>严禁冒名顶替住院、挂床住院、分解住院等现象发生，严禁出售假药、劣药，串换药品及兑换现金等行为。</w:t>
      </w:r>
    </w:p>
    <w:p>
      <w:pPr>
        <w:keepNext w:val="0"/>
        <w:keepLines w:val="0"/>
        <w:pageBreakBefore w:val="0"/>
        <w:kinsoku/>
        <w:wordWrap/>
        <w:overflowPunct/>
        <w:topLinePunct w:val="0"/>
        <w:autoSpaceDE/>
        <w:autoSpaceDN/>
        <w:bidi w:val="0"/>
        <w:snapToGrid/>
        <w:spacing w:line="580" w:lineRule="exact"/>
        <w:ind w:firstLine="640" w:firstLineChars="200"/>
        <w:jc w:val="left"/>
        <w:textAlignment w:val="auto"/>
        <w:rPr>
          <w:rFonts w:ascii="仿宋" w:hAnsi="仿宋" w:eastAsia="仿宋" w:cs="仿宋"/>
          <w:color w:val="auto"/>
          <w:sz w:val="32"/>
          <w:szCs w:val="32"/>
        </w:rPr>
      </w:pPr>
      <w:r>
        <w:rPr>
          <w:rFonts w:hint="eastAsia" w:ascii="黑体" w:hAnsi="黑体" w:eastAsia="黑体" w:cs="黑体"/>
          <w:color w:val="auto"/>
          <w:sz w:val="32"/>
          <w:szCs w:val="32"/>
        </w:rPr>
        <w:t>第</w:t>
      </w:r>
      <w:r>
        <w:rPr>
          <w:rFonts w:hint="eastAsia" w:ascii="黑体" w:hAnsi="黑体" w:eastAsia="黑体" w:cs="黑体"/>
          <w:color w:val="auto"/>
          <w:sz w:val="32"/>
          <w:szCs w:val="32"/>
          <w:lang w:eastAsia="zh-CN"/>
        </w:rPr>
        <w:t>二十九</w:t>
      </w:r>
      <w:r>
        <w:rPr>
          <w:rFonts w:hint="eastAsia" w:ascii="黑体" w:hAnsi="黑体" w:eastAsia="黑体" w:cs="黑体"/>
          <w:color w:val="auto"/>
          <w:sz w:val="32"/>
          <w:szCs w:val="32"/>
        </w:rPr>
        <w:t xml:space="preserve">条  </w:t>
      </w:r>
      <w:r>
        <w:rPr>
          <w:rFonts w:hint="eastAsia" w:ascii="仿宋" w:hAnsi="仿宋" w:eastAsia="仿宋" w:cs="仿宋"/>
          <w:color w:val="auto"/>
          <w:sz w:val="32"/>
          <w:szCs w:val="32"/>
        </w:rPr>
        <w:t>普通门诊统筹、门诊特殊慢性病和门诊特殊用药按照相关规定执行。</w:t>
      </w:r>
    </w:p>
    <w:p>
      <w:pPr>
        <w:keepNext w:val="0"/>
        <w:keepLines w:val="0"/>
        <w:pageBreakBefore w:val="0"/>
        <w:kinsoku/>
        <w:wordWrap/>
        <w:overflowPunct/>
        <w:topLinePunct w:val="0"/>
        <w:autoSpaceDE/>
        <w:autoSpaceDN/>
        <w:bidi w:val="0"/>
        <w:snapToGrid/>
        <w:spacing w:line="580" w:lineRule="exact"/>
        <w:ind w:firstLine="640" w:firstLineChars="200"/>
        <w:textAlignment w:val="auto"/>
        <w:rPr>
          <w:rFonts w:ascii="仿宋" w:hAnsi="仿宋" w:eastAsia="仿宋" w:cs="仿宋"/>
          <w:color w:val="auto"/>
          <w:sz w:val="32"/>
          <w:szCs w:val="32"/>
        </w:rPr>
      </w:pPr>
      <w:r>
        <w:rPr>
          <w:rFonts w:hint="eastAsia" w:ascii="黑体" w:hAnsi="黑体" w:eastAsia="黑体" w:cs="黑体"/>
          <w:color w:val="auto"/>
          <w:sz w:val="32"/>
          <w:szCs w:val="32"/>
        </w:rPr>
        <w:t xml:space="preserve">第三十条  </w:t>
      </w:r>
      <w:r>
        <w:rPr>
          <w:rFonts w:hint="eastAsia" w:ascii="仿宋" w:hAnsi="仿宋" w:eastAsia="仿宋" w:cs="仿宋"/>
          <w:color w:val="auto"/>
          <w:sz w:val="32"/>
          <w:szCs w:val="32"/>
        </w:rPr>
        <w:t>省级干部、离休人员、老红军及文革中致残的全残人员不参加基本医疗保险，有关待遇不变，医疗费用按原资金渠道解决。</w:t>
      </w:r>
    </w:p>
    <w:p>
      <w:pPr>
        <w:keepNext w:val="0"/>
        <w:keepLines w:val="0"/>
        <w:pageBreakBefore w:val="0"/>
        <w:kinsoku/>
        <w:wordWrap/>
        <w:overflowPunct/>
        <w:topLinePunct w:val="0"/>
        <w:autoSpaceDE/>
        <w:autoSpaceDN/>
        <w:bidi w:val="0"/>
        <w:snapToGrid/>
        <w:spacing w:line="580" w:lineRule="exact"/>
        <w:ind w:firstLine="640" w:firstLineChars="200"/>
        <w:textAlignment w:val="auto"/>
        <w:rPr>
          <w:rFonts w:hint="eastAsia" w:ascii="仿宋" w:hAnsi="仿宋" w:eastAsia="仿宋" w:cs="仿宋"/>
          <w:color w:val="auto"/>
          <w:sz w:val="32"/>
          <w:szCs w:val="32"/>
          <w:lang w:eastAsia="zh-CN"/>
        </w:rPr>
      </w:pPr>
      <w:r>
        <w:rPr>
          <w:rFonts w:hint="eastAsia" w:ascii="仿宋" w:hAnsi="仿宋" w:eastAsia="仿宋" w:cs="仿宋"/>
          <w:color w:val="auto"/>
          <w:sz w:val="32"/>
          <w:szCs w:val="32"/>
        </w:rPr>
        <w:t>文革基残已退休人员参加基本医疗保险，在退休人员的起付标准基础上降低10%</w:t>
      </w:r>
      <w:r>
        <w:rPr>
          <w:rFonts w:hint="default" w:ascii="仿宋" w:hAnsi="仿宋" w:eastAsia="仿宋" w:cs="仿宋"/>
          <w:color w:val="auto"/>
          <w:sz w:val="32"/>
          <w:szCs w:val="32"/>
          <w:lang w:val="en"/>
        </w:rPr>
        <w:t>；</w:t>
      </w:r>
      <w:r>
        <w:rPr>
          <w:rFonts w:hint="eastAsia" w:ascii="仿宋" w:hAnsi="仿宋" w:eastAsia="仿宋" w:cs="仿宋"/>
          <w:color w:val="auto"/>
          <w:sz w:val="32"/>
          <w:szCs w:val="32"/>
        </w:rPr>
        <w:t>个人账户的建立执行退休人员的办法，自付比例在退休自付比例的基础上降低两个百分点</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在职文革基残人员按普通退休人员的标准执行。</w:t>
      </w:r>
    </w:p>
    <w:p>
      <w:pPr>
        <w:keepNext w:val="0"/>
        <w:keepLines w:val="0"/>
        <w:pageBreakBefore w:val="0"/>
        <w:widowControl w:val="0"/>
        <w:kinsoku/>
        <w:wordWrap/>
        <w:overflowPunct/>
        <w:topLinePunct w:val="0"/>
        <w:autoSpaceDE/>
        <w:autoSpaceDN/>
        <w:bidi w:val="0"/>
        <w:adjustRightInd/>
        <w:snapToGrid/>
        <w:spacing w:before="313" w:beforeLines="100" w:after="313" w:afterLines="100" w:line="580" w:lineRule="exact"/>
        <w:jc w:val="center"/>
        <w:textAlignment w:val="auto"/>
        <w:rPr>
          <w:rFonts w:ascii="黑体" w:hAnsi="黑体" w:eastAsia="黑体" w:cs="黑体"/>
          <w:color w:val="auto"/>
          <w:sz w:val="32"/>
          <w:szCs w:val="32"/>
        </w:rPr>
      </w:pPr>
      <w:r>
        <w:rPr>
          <w:rFonts w:hint="eastAsia" w:ascii="黑体" w:hAnsi="黑体" w:eastAsia="黑体" w:cs="黑体"/>
          <w:color w:val="auto"/>
          <w:sz w:val="32"/>
          <w:szCs w:val="32"/>
        </w:rPr>
        <w:t>第三章   职工大额医疗保险</w:t>
      </w:r>
    </w:p>
    <w:p>
      <w:pPr>
        <w:keepNext w:val="0"/>
        <w:keepLines w:val="0"/>
        <w:pageBreakBefore w:val="0"/>
        <w:kinsoku/>
        <w:wordWrap/>
        <w:overflowPunct/>
        <w:topLinePunct w:val="0"/>
        <w:autoSpaceDE/>
        <w:autoSpaceDN/>
        <w:bidi w:val="0"/>
        <w:snapToGrid/>
        <w:spacing w:line="580" w:lineRule="exact"/>
        <w:ind w:firstLine="640" w:firstLineChars="200"/>
        <w:textAlignment w:val="auto"/>
        <w:rPr>
          <w:rFonts w:ascii="仿宋" w:hAnsi="仿宋" w:eastAsia="仿宋" w:cs="仿宋"/>
          <w:color w:val="auto"/>
          <w:sz w:val="32"/>
          <w:szCs w:val="32"/>
        </w:rPr>
      </w:pPr>
      <w:r>
        <w:rPr>
          <w:rFonts w:hint="eastAsia" w:ascii="黑体" w:hAnsi="黑体" w:eastAsia="黑体" w:cs="黑体"/>
          <w:color w:val="auto"/>
          <w:sz w:val="32"/>
          <w:szCs w:val="32"/>
        </w:rPr>
        <w:t>第三十</w:t>
      </w:r>
      <w:r>
        <w:rPr>
          <w:rFonts w:hint="eastAsia" w:ascii="黑体" w:hAnsi="黑体" w:eastAsia="黑体" w:cs="黑体"/>
          <w:color w:val="auto"/>
          <w:sz w:val="32"/>
          <w:szCs w:val="32"/>
          <w:lang w:eastAsia="zh-CN"/>
        </w:rPr>
        <w:t>一</w:t>
      </w:r>
      <w:r>
        <w:rPr>
          <w:rFonts w:hint="eastAsia" w:ascii="黑体" w:hAnsi="黑体" w:eastAsia="黑体" w:cs="黑体"/>
          <w:color w:val="auto"/>
          <w:sz w:val="32"/>
          <w:szCs w:val="32"/>
        </w:rPr>
        <w:t xml:space="preserve">条  </w:t>
      </w:r>
      <w:r>
        <w:rPr>
          <w:rFonts w:hint="eastAsia" w:ascii="仿宋" w:hAnsi="仿宋" w:eastAsia="仿宋" w:cs="仿宋"/>
          <w:color w:val="auto"/>
          <w:sz w:val="32"/>
          <w:szCs w:val="32"/>
        </w:rPr>
        <w:t>职工大额医疗保险主要解决自治区本级职工基本医疗保险参保人员因病发生的超出基本医疗保险统筹基金最高支付限额以上部分的医疗费用。</w:t>
      </w:r>
    </w:p>
    <w:p>
      <w:pPr>
        <w:keepNext w:val="0"/>
        <w:keepLines w:val="0"/>
        <w:pageBreakBefore w:val="0"/>
        <w:kinsoku/>
        <w:wordWrap/>
        <w:overflowPunct/>
        <w:topLinePunct w:val="0"/>
        <w:autoSpaceDE/>
        <w:autoSpaceDN/>
        <w:bidi w:val="0"/>
        <w:snapToGrid/>
        <w:spacing w:line="580" w:lineRule="exact"/>
        <w:ind w:firstLine="640" w:firstLineChars="200"/>
        <w:textAlignment w:val="auto"/>
        <w:rPr>
          <w:rFonts w:ascii="仿宋" w:hAnsi="仿宋" w:eastAsia="仿宋" w:cs="仿宋"/>
          <w:color w:val="auto"/>
          <w:sz w:val="32"/>
          <w:szCs w:val="32"/>
        </w:rPr>
      </w:pPr>
      <w:r>
        <w:rPr>
          <w:rFonts w:hint="eastAsia" w:ascii="黑体" w:hAnsi="黑体" w:eastAsia="黑体" w:cs="黑体"/>
          <w:color w:val="auto"/>
          <w:sz w:val="32"/>
          <w:szCs w:val="32"/>
        </w:rPr>
        <w:t>第三十</w:t>
      </w:r>
      <w:r>
        <w:rPr>
          <w:rFonts w:hint="eastAsia" w:ascii="黑体" w:hAnsi="黑体" w:eastAsia="黑体" w:cs="黑体"/>
          <w:color w:val="auto"/>
          <w:sz w:val="32"/>
          <w:szCs w:val="32"/>
          <w:lang w:eastAsia="zh-CN"/>
        </w:rPr>
        <w:t>二</w:t>
      </w:r>
      <w:r>
        <w:rPr>
          <w:rFonts w:hint="eastAsia" w:ascii="黑体" w:hAnsi="黑体" w:eastAsia="黑体" w:cs="黑体"/>
          <w:color w:val="auto"/>
          <w:sz w:val="32"/>
          <w:szCs w:val="32"/>
        </w:rPr>
        <w:t xml:space="preserve">条  </w:t>
      </w:r>
      <w:r>
        <w:rPr>
          <w:rFonts w:hint="eastAsia" w:ascii="仿宋" w:hAnsi="仿宋" w:eastAsia="仿宋" w:cs="仿宋"/>
          <w:color w:val="auto"/>
          <w:sz w:val="32"/>
          <w:szCs w:val="32"/>
        </w:rPr>
        <w:t>凡参加自治区本级职工基本医疗保险的单位和职工，都必须参加职工大额医疗保险。</w:t>
      </w:r>
    </w:p>
    <w:p>
      <w:pPr>
        <w:keepNext w:val="0"/>
        <w:keepLines w:val="0"/>
        <w:pageBreakBefore w:val="0"/>
        <w:kinsoku/>
        <w:wordWrap/>
        <w:overflowPunct/>
        <w:topLinePunct w:val="0"/>
        <w:autoSpaceDE/>
        <w:autoSpaceDN/>
        <w:bidi w:val="0"/>
        <w:snapToGrid/>
        <w:spacing w:line="580" w:lineRule="exact"/>
        <w:ind w:firstLine="640" w:firstLineChars="200"/>
        <w:textAlignment w:val="auto"/>
        <w:rPr>
          <w:rFonts w:ascii="仿宋" w:hAnsi="仿宋" w:eastAsia="仿宋" w:cs="仿宋"/>
          <w:color w:val="auto"/>
          <w:sz w:val="32"/>
          <w:szCs w:val="32"/>
        </w:rPr>
      </w:pPr>
      <w:r>
        <w:rPr>
          <w:rFonts w:hint="eastAsia" w:ascii="黑体" w:hAnsi="黑体" w:eastAsia="黑体" w:cs="黑体"/>
          <w:color w:val="auto"/>
          <w:sz w:val="32"/>
          <w:szCs w:val="32"/>
        </w:rPr>
        <w:t>第三十</w:t>
      </w:r>
      <w:r>
        <w:rPr>
          <w:rFonts w:hint="eastAsia" w:ascii="黑体" w:hAnsi="黑体" w:eastAsia="黑体" w:cs="黑体"/>
          <w:color w:val="auto"/>
          <w:sz w:val="32"/>
          <w:szCs w:val="32"/>
          <w:lang w:eastAsia="zh-CN"/>
        </w:rPr>
        <w:t>三</w:t>
      </w:r>
      <w:r>
        <w:rPr>
          <w:rFonts w:hint="eastAsia" w:ascii="黑体" w:hAnsi="黑体" w:eastAsia="黑体" w:cs="黑体"/>
          <w:color w:val="auto"/>
          <w:sz w:val="32"/>
          <w:szCs w:val="32"/>
        </w:rPr>
        <w:t xml:space="preserve">条  </w:t>
      </w:r>
      <w:r>
        <w:rPr>
          <w:rFonts w:hint="eastAsia" w:ascii="仿宋" w:hAnsi="仿宋" w:eastAsia="仿宋" w:cs="仿宋"/>
          <w:color w:val="auto"/>
          <w:sz w:val="32"/>
          <w:szCs w:val="32"/>
        </w:rPr>
        <w:t>职工大额医疗保险基金一年内的最高支付限额为10万元。</w:t>
      </w:r>
    </w:p>
    <w:p>
      <w:pPr>
        <w:keepNext w:val="0"/>
        <w:keepLines w:val="0"/>
        <w:pageBreakBefore w:val="0"/>
        <w:kinsoku/>
        <w:wordWrap/>
        <w:overflowPunct/>
        <w:topLinePunct w:val="0"/>
        <w:autoSpaceDE/>
        <w:autoSpaceDN/>
        <w:bidi w:val="0"/>
        <w:snapToGrid/>
        <w:spacing w:line="580" w:lineRule="exact"/>
        <w:ind w:firstLine="640" w:firstLineChars="200"/>
        <w:textAlignment w:val="auto"/>
        <w:rPr>
          <w:rFonts w:ascii="仿宋" w:hAnsi="仿宋" w:eastAsia="仿宋" w:cs="仿宋"/>
          <w:color w:val="auto"/>
          <w:sz w:val="32"/>
          <w:szCs w:val="32"/>
        </w:rPr>
      </w:pPr>
      <w:r>
        <w:rPr>
          <w:rFonts w:hint="eastAsia" w:ascii="黑体" w:hAnsi="黑体" w:eastAsia="黑体" w:cs="黑体"/>
          <w:color w:val="auto"/>
          <w:sz w:val="32"/>
          <w:szCs w:val="32"/>
        </w:rPr>
        <w:t>第三十</w:t>
      </w:r>
      <w:r>
        <w:rPr>
          <w:rFonts w:hint="eastAsia" w:ascii="黑体" w:hAnsi="黑体" w:eastAsia="黑体" w:cs="黑体"/>
          <w:color w:val="auto"/>
          <w:sz w:val="32"/>
          <w:szCs w:val="32"/>
          <w:lang w:eastAsia="zh-CN"/>
        </w:rPr>
        <w:t>四</w:t>
      </w:r>
      <w:r>
        <w:rPr>
          <w:rFonts w:hint="eastAsia" w:ascii="黑体" w:hAnsi="黑体" w:eastAsia="黑体" w:cs="黑体"/>
          <w:color w:val="auto"/>
          <w:sz w:val="32"/>
          <w:szCs w:val="32"/>
        </w:rPr>
        <w:t xml:space="preserve">条  </w:t>
      </w:r>
      <w:r>
        <w:rPr>
          <w:rFonts w:hint="eastAsia" w:ascii="仿宋" w:hAnsi="仿宋" w:eastAsia="仿宋" w:cs="仿宋"/>
          <w:color w:val="auto"/>
          <w:sz w:val="32"/>
          <w:szCs w:val="32"/>
        </w:rPr>
        <w:t>职工大额医疗保险基金按照以收定支、收支平衡的原则筹集</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缴费标准为参保人员</w:t>
      </w:r>
      <w:r>
        <w:rPr>
          <w:rFonts w:hint="default" w:ascii="仿宋" w:hAnsi="仿宋" w:eastAsia="仿宋" w:cs="仿宋"/>
          <w:color w:val="auto"/>
          <w:sz w:val="32"/>
          <w:szCs w:val="32"/>
          <w:lang w:val="en"/>
        </w:rPr>
        <w:t>（</w:t>
      </w:r>
      <w:r>
        <w:rPr>
          <w:rFonts w:hint="eastAsia" w:ascii="仿宋" w:hAnsi="仿宋" w:eastAsia="仿宋" w:cs="仿宋"/>
          <w:color w:val="auto"/>
          <w:sz w:val="32"/>
          <w:szCs w:val="32"/>
        </w:rPr>
        <w:t>含退休职工</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每人每年100元，由</w:t>
      </w:r>
      <w:r>
        <w:rPr>
          <w:rFonts w:hint="eastAsia" w:ascii="仿宋" w:hAnsi="仿宋" w:eastAsia="仿宋" w:cs="仿宋"/>
          <w:color w:val="auto"/>
          <w:sz w:val="32"/>
          <w:szCs w:val="32"/>
          <w:lang w:eastAsia="zh-CN"/>
        </w:rPr>
        <w:t>参保单位</w:t>
      </w:r>
      <w:r>
        <w:rPr>
          <w:rFonts w:hint="eastAsia" w:ascii="仿宋" w:hAnsi="仿宋" w:eastAsia="仿宋" w:cs="仿宋"/>
          <w:color w:val="auto"/>
          <w:sz w:val="32"/>
          <w:szCs w:val="32"/>
        </w:rPr>
        <w:t>缴纳，在职灵活就业人员由个人缴纳。</w:t>
      </w:r>
    </w:p>
    <w:p>
      <w:pPr>
        <w:keepNext w:val="0"/>
        <w:keepLines w:val="0"/>
        <w:pageBreakBefore w:val="0"/>
        <w:kinsoku/>
        <w:wordWrap/>
        <w:overflowPunct/>
        <w:topLinePunct w:val="0"/>
        <w:autoSpaceDE/>
        <w:autoSpaceDN/>
        <w:bidi w:val="0"/>
        <w:snapToGrid/>
        <w:spacing w:line="580" w:lineRule="exact"/>
        <w:ind w:firstLine="640" w:firstLineChars="200"/>
        <w:textAlignment w:val="auto"/>
        <w:rPr>
          <w:rFonts w:ascii="仿宋" w:hAnsi="仿宋" w:eastAsia="仿宋" w:cs="仿宋"/>
          <w:color w:val="auto"/>
          <w:sz w:val="32"/>
          <w:szCs w:val="32"/>
        </w:rPr>
      </w:pPr>
      <w:r>
        <w:rPr>
          <w:rFonts w:hint="eastAsia" w:ascii="黑体" w:hAnsi="黑体" w:eastAsia="黑体" w:cs="黑体"/>
          <w:color w:val="auto"/>
          <w:sz w:val="32"/>
          <w:szCs w:val="32"/>
        </w:rPr>
        <w:t>第三十</w:t>
      </w:r>
      <w:r>
        <w:rPr>
          <w:rFonts w:hint="eastAsia" w:ascii="黑体" w:hAnsi="黑体" w:eastAsia="黑体" w:cs="黑体"/>
          <w:color w:val="auto"/>
          <w:sz w:val="32"/>
          <w:szCs w:val="32"/>
          <w:lang w:eastAsia="zh-CN"/>
        </w:rPr>
        <w:t>五</w:t>
      </w:r>
      <w:r>
        <w:rPr>
          <w:rFonts w:hint="eastAsia" w:ascii="黑体" w:hAnsi="黑体" w:eastAsia="黑体" w:cs="黑体"/>
          <w:color w:val="auto"/>
          <w:sz w:val="32"/>
          <w:szCs w:val="32"/>
        </w:rPr>
        <w:t xml:space="preserve">条  </w:t>
      </w:r>
      <w:r>
        <w:rPr>
          <w:rFonts w:hint="eastAsia" w:ascii="仿宋" w:hAnsi="仿宋" w:eastAsia="仿宋" w:cs="仿宋"/>
          <w:color w:val="auto"/>
          <w:sz w:val="32"/>
          <w:szCs w:val="32"/>
        </w:rPr>
        <w:t>职工大额医疗保险费按</w:t>
      </w:r>
      <w:r>
        <w:rPr>
          <w:rFonts w:hint="eastAsia" w:ascii="仿宋" w:hAnsi="仿宋" w:eastAsia="仿宋" w:cs="仿宋"/>
          <w:color w:val="auto"/>
          <w:sz w:val="32"/>
          <w:szCs w:val="32"/>
          <w:lang w:eastAsia="zh-CN"/>
        </w:rPr>
        <w:t>业务</w:t>
      </w:r>
      <w:r>
        <w:rPr>
          <w:rFonts w:hint="eastAsia" w:ascii="仿宋" w:hAnsi="仿宋" w:eastAsia="仿宋" w:cs="仿宋"/>
          <w:color w:val="auto"/>
          <w:sz w:val="32"/>
          <w:szCs w:val="32"/>
        </w:rPr>
        <w:t>年度缴纳，在每年</w:t>
      </w:r>
      <w:r>
        <w:rPr>
          <w:rFonts w:hint="eastAsia" w:ascii="仿宋" w:hAnsi="仿宋" w:eastAsia="仿宋" w:cs="仿宋"/>
          <w:color w:val="auto"/>
          <w:sz w:val="32"/>
          <w:szCs w:val="32"/>
          <w:lang w:eastAsia="zh-CN"/>
        </w:rPr>
        <w:t>六</w:t>
      </w:r>
      <w:r>
        <w:rPr>
          <w:rFonts w:hint="eastAsia" w:ascii="仿宋" w:hAnsi="仿宋" w:eastAsia="仿宋" w:cs="仿宋"/>
          <w:color w:val="auto"/>
          <w:sz w:val="32"/>
          <w:szCs w:val="32"/>
        </w:rPr>
        <w:t>月底缴清</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新参保人员职工大额医疗保险费在参保当月由单位全额缴纳。</w:t>
      </w:r>
    </w:p>
    <w:p>
      <w:pPr>
        <w:keepNext w:val="0"/>
        <w:keepLines w:val="0"/>
        <w:pageBreakBefore w:val="0"/>
        <w:kinsoku/>
        <w:wordWrap/>
        <w:overflowPunct/>
        <w:topLinePunct w:val="0"/>
        <w:autoSpaceDE/>
        <w:autoSpaceDN/>
        <w:bidi w:val="0"/>
        <w:snapToGrid/>
        <w:spacing w:line="580" w:lineRule="exact"/>
        <w:ind w:firstLine="640" w:firstLineChars="200"/>
        <w:textAlignment w:val="auto"/>
        <w:rPr>
          <w:rFonts w:ascii="仿宋" w:hAnsi="仿宋" w:eastAsia="仿宋" w:cs="仿宋"/>
          <w:color w:val="auto"/>
          <w:sz w:val="32"/>
          <w:szCs w:val="32"/>
        </w:rPr>
      </w:pPr>
      <w:r>
        <w:rPr>
          <w:rFonts w:hint="eastAsia" w:ascii="黑体" w:hAnsi="黑体" w:eastAsia="黑体" w:cs="黑体"/>
          <w:color w:val="auto"/>
          <w:sz w:val="32"/>
          <w:szCs w:val="32"/>
        </w:rPr>
        <w:t>第</w:t>
      </w:r>
      <w:r>
        <w:rPr>
          <w:rFonts w:hint="eastAsia" w:ascii="黑体" w:hAnsi="黑体" w:eastAsia="黑体" w:cs="黑体"/>
          <w:color w:val="auto"/>
          <w:sz w:val="32"/>
          <w:szCs w:val="32"/>
          <w:lang w:val="en-US" w:eastAsia="zh-CN"/>
        </w:rPr>
        <w:t>三十六</w:t>
      </w:r>
      <w:r>
        <w:rPr>
          <w:rFonts w:hint="eastAsia" w:ascii="黑体" w:hAnsi="黑体" w:eastAsia="黑体" w:cs="黑体"/>
          <w:color w:val="auto"/>
          <w:sz w:val="32"/>
          <w:szCs w:val="32"/>
        </w:rPr>
        <w:t xml:space="preserve">条  </w:t>
      </w:r>
      <w:r>
        <w:rPr>
          <w:rFonts w:hint="eastAsia" w:ascii="仿宋" w:hAnsi="仿宋" w:eastAsia="仿宋" w:cs="仿宋"/>
          <w:color w:val="auto"/>
          <w:sz w:val="32"/>
          <w:szCs w:val="32"/>
        </w:rPr>
        <w:t>职工大额医疗保险费不建立个人账户，</w:t>
      </w:r>
      <w:r>
        <w:rPr>
          <w:rFonts w:hint="eastAsia" w:ascii="仿宋" w:hAnsi="仿宋" w:eastAsia="仿宋" w:cs="仿宋"/>
          <w:color w:val="auto"/>
          <w:sz w:val="32"/>
          <w:szCs w:val="32"/>
          <w:lang w:eastAsia="zh-CN"/>
        </w:rPr>
        <w:t>参保单位</w:t>
      </w:r>
      <w:r>
        <w:rPr>
          <w:rFonts w:hint="eastAsia" w:ascii="仿宋" w:hAnsi="仿宋" w:eastAsia="仿宋" w:cs="仿宋"/>
          <w:color w:val="auto"/>
          <w:sz w:val="32"/>
          <w:szCs w:val="32"/>
        </w:rPr>
        <w:t>缴纳的职工大额医疗保险费全部用于建立大额补充基金。职工大</w:t>
      </w:r>
      <w:r>
        <w:rPr>
          <w:rFonts w:hint="eastAsia" w:ascii="仿宋" w:hAnsi="仿宋" w:eastAsia="仿宋" w:cs="仿宋"/>
          <w:color w:val="auto"/>
          <w:spacing w:val="-6"/>
          <w:sz w:val="32"/>
          <w:szCs w:val="32"/>
        </w:rPr>
        <w:t>额医疗保险费不得减免，任何单位不得以任何理由拒缴或少缴。</w:t>
      </w:r>
    </w:p>
    <w:p>
      <w:pPr>
        <w:keepNext w:val="0"/>
        <w:keepLines w:val="0"/>
        <w:pageBreakBefore w:val="0"/>
        <w:kinsoku/>
        <w:wordWrap/>
        <w:overflowPunct/>
        <w:topLinePunct w:val="0"/>
        <w:autoSpaceDE/>
        <w:autoSpaceDN/>
        <w:bidi w:val="0"/>
        <w:snapToGrid/>
        <w:spacing w:line="580" w:lineRule="exact"/>
        <w:ind w:firstLine="640" w:firstLineChars="200"/>
        <w:textAlignment w:val="auto"/>
        <w:rPr>
          <w:rFonts w:ascii="仿宋" w:hAnsi="仿宋" w:eastAsia="仿宋" w:cs="仿宋"/>
          <w:color w:val="auto"/>
          <w:sz w:val="32"/>
          <w:szCs w:val="32"/>
        </w:rPr>
      </w:pPr>
      <w:r>
        <w:rPr>
          <w:rFonts w:hint="eastAsia" w:ascii="仿宋" w:hAnsi="仿宋" w:eastAsia="仿宋" w:cs="仿宋"/>
          <w:color w:val="auto"/>
          <w:sz w:val="32"/>
          <w:szCs w:val="32"/>
          <w:lang w:eastAsia="zh-CN"/>
        </w:rPr>
        <w:t>参保单位</w:t>
      </w:r>
      <w:r>
        <w:rPr>
          <w:rFonts w:hint="eastAsia" w:ascii="仿宋" w:hAnsi="仿宋" w:eastAsia="仿宋" w:cs="仿宋"/>
          <w:color w:val="auto"/>
          <w:sz w:val="32"/>
          <w:szCs w:val="32"/>
        </w:rPr>
        <w:t>不按规定缴纳职工大额医疗保险费，暂停享受职工大额医疗保险待遇。</w:t>
      </w:r>
    </w:p>
    <w:p>
      <w:pPr>
        <w:keepNext w:val="0"/>
        <w:keepLines w:val="0"/>
        <w:pageBreakBefore w:val="0"/>
        <w:kinsoku/>
        <w:wordWrap/>
        <w:overflowPunct/>
        <w:topLinePunct w:val="0"/>
        <w:autoSpaceDE/>
        <w:autoSpaceDN/>
        <w:bidi w:val="0"/>
        <w:snapToGrid/>
        <w:spacing w:line="580" w:lineRule="exact"/>
        <w:ind w:firstLine="640" w:firstLineChars="200"/>
        <w:textAlignment w:val="auto"/>
        <w:rPr>
          <w:rFonts w:ascii="仿宋" w:hAnsi="仿宋" w:eastAsia="仿宋" w:cs="仿宋"/>
          <w:color w:val="auto"/>
          <w:sz w:val="32"/>
          <w:szCs w:val="32"/>
        </w:rPr>
      </w:pPr>
      <w:r>
        <w:rPr>
          <w:rFonts w:hint="eastAsia" w:ascii="黑体" w:hAnsi="黑体" w:eastAsia="黑体" w:cs="黑体"/>
          <w:color w:val="auto"/>
          <w:sz w:val="32"/>
          <w:szCs w:val="32"/>
        </w:rPr>
        <w:t>第</w:t>
      </w:r>
      <w:r>
        <w:rPr>
          <w:rFonts w:hint="eastAsia" w:ascii="黑体" w:hAnsi="黑体" w:eastAsia="黑体" w:cs="黑体"/>
          <w:color w:val="auto"/>
          <w:sz w:val="32"/>
          <w:szCs w:val="32"/>
          <w:lang w:eastAsia="zh-CN"/>
        </w:rPr>
        <w:t>三十七</w:t>
      </w:r>
      <w:r>
        <w:rPr>
          <w:rFonts w:hint="eastAsia" w:ascii="黑体" w:hAnsi="黑体" w:eastAsia="黑体" w:cs="黑体"/>
          <w:color w:val="auto"/>
          <w:sz w:val="32"/>
          <w:szCs w:val="32"/>
        </w:rPr>
        <w:t xml:space="preserve">条  </w:t>
      </w:r>
      <w:r>
        <w:rPr>
          <w:rFonts w:hint="eastAsia" w:ascii="仿宋" w:hAnsi="仿宋" w:eastAsia="仿宋" w:cs="仿宋"/>
          <w:color w:val="auto"/>
          <w:sz w:val="32"/>
          <w:szCs w:val="32"/>
        </w:rPr>
        <w:t>参保人员在自治区本级统筹范围内流动的，职工大额医疗保险关系随同转移</w:t>
      </w:r>
      <w:r>
        <w:rPr>
          <w:rFonts w:hint="default" w:ascii="仿宋" w:hAnsi="仿宋" w:eastAsia="仿宋" w:cs="仿宋"/>
          <w:color w:val="auto"/>
          <w:sz w:val="32"/>
          <w:szCs w:val="32"/>
          <w:lang w:val="en"/>
        </w:rPr>
        <w:t>；</w:t>
      </w:r>
      <w:r>
        <w:rPr>
          <w:rFonts w:hint="eastAsia" w:ascii="仿宋" w:hAnsi="仿宋" w:eastAsia="仿宋" w:cs="仿宋"/>
          <w:color w:val="auto"/>
          <w:sz w:val="32"/>
          <w:szCs w:val="32"/>
        </w:rPr>
        <w:t>参保人员调离自治区本级统筹范围的，职工大额医疗保险关系及待遇从调离之日起终止。</w:t>
      </w:r>
    </w:p>
    <w:p>
      <w:pPr>
        <w:keepNext w:val="0"/>
        <w:keepLines w:val="0"/>
        <w:pageBreakBefore w:val="0"/>
        <w:kinsoku/>
        <w:wordWrap/>
        <w:overflowPunct/>
        <w:topLinePunct w:val="0"/>
        <w:autoSpaceDE/>
        <w:autoSpaceDN/>
        <w:bidi w:val="0"/>
        <w:snapToGrid/>
        <w:spacing w:line="580" w:lineRule="exact"/>
        <w:ind w:firstLine="640" w:firstLineChars="200"/>
        <w:textAlignment w:val="auto"/>
        <w:rPr>
          <w:rFonts w:ascii="仿宋" w:hAnsi="仿宋" w:eastAsia="仿宋" w:cs="仿宋"/>
          <w:color w:val="auto"/>
          <w:sz w:val="32"/>
          <w:szCs w:val="32"/>
        </w:rPr>
      </w:pPr>
      <w:r>
        <w:rPr>
          <w:rFonts w:hint="eastAsia" w:ascii="黑体" w:hAnsi="黑体" w:eastAsia="黑体" w:cs="黑体"/>
          <w:color w:val="auto"/>
          <w:sz w:val="32"/>
          <w:szCs w:val="32"/>
        </w:rPr>
        <w:t>第</w:t>
      </w:r>
      <w:r>
        <w:rPr>
          <w:rFonts w:hint="eastAsia" w:ascii="黑体" w:hAnsi="黑体" w:eastAsia="黑体" w:cs="黑体"/>
          <w:color w:val="auto"/>
          <w:sz w:val="32"/>
          <w:szCs w:val="32"/>
          <w:lang w:eastAsia="zh-CN"/>
        </w:rPr>
        <w:t>三十八</w:t>
      </w:r>
      <w:r>
        <w:rPr>
          <w:rFonts w:hint="eastAsia" w:ascii="黑体" w:hAnsi="黑体" w:eastAsia="黑体" w:cs="黑体"/>
          <w:color w:val="auto"/>
          <w:sz w:val="32"/>
          <w:szCs w:val="32"/>
        </w:rPr>
        <w:t xml:space="preserve">条  </w:t>
      </w:r>
      <w:r>
        <w:rPr>
          <w:rFonts w:hint="eastAsia" w:ascii="仿宋" w:hAnsi="仿宋" w:eastAsia="仿宋" w:cs="仿宋"/>
          <w:color w:val="auto"/>
          <w:sz w:val="32"/>
          <w:szCs w:val="32"/>
        </w:rPr>
        <w:t>参保人员使用乙类药品和用基本医疗保险支付部分费用诊疗项目治疗的</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在抢救、急救期间</w:t>
      </w:r>
      <w:r>
        <w:rPr>
          <w:rFonts w:hint="eastAsia" w:ascii="仿宋" w:hAnsi="仿宋" w:eastAsia="仿宋" w:cs="仿宋"/>
          <w:color w:val="auto"/>
          <w:sz w:val="32"/>
          <w:szCs w:val="32"/>
          <w:lang w:eastAsia="zh-CN"/>
        </w:rPr>
        <w:t>按医嘱</w:t>
      </w:r>
      <w:r>
        <w:rPr>
          <w:rFonts w:hint="eastAsia" w:ascii="仿宋" w:hAnsi="仿宋" w:eastAsia="仿宋" w:cs="仿宋"/>
          <w:color w:val="auto"/>
          <w:sz w:val="32"/>
          <w:szCs w:val="32"/>
        </w:rPr>
        <w:t>使用血液制品、蛋白类制品的，其费用</w:t>
      </w:r>
      <w:r>
        <w:rPr>
          <w:rFonts w:hint="eastAsia" w:ascii="仿宋" w:hAnsi="仿宋" w:eastAsia="仿宋" w:cs="仿宋"/>
          <w:color w:val="auto"/>
          <w:sz w:val="32"/>
          <w:szCs w:val="32"/>
          <w:lang w:eastAsia="zh-CN"/>
        </w:rPr>
        <w:t>均由</w:t>
      </w:r>
      <w:r>
        <w:rPr>
          <w:rFonts w:hint="eastAsia" w:ascii="仿宋" w:hAnsi="仿宋" w:eastAsia="仿宋" w:cs="仿宋"/>
          <w:color w:val="auto"/>
          <w:sz w:val="32"/>
          <w:szCs w:val="32"/>
        </w:rPr>
        <w:t>本人自负10%，其余部分由职工大额医疗保险基金和个人按规定比例支付。</w:t>
      </w:r>
    </w:p>
    <w:p>
      <w:pPr>
        <w:pStyle w:val="10"/>
        <w:keepNext w:val="0"/>
        <w:keepLines w:val="0"/>
        <w:pageBreakBefore w:val="0"/>
        <w:widowControl/>
        <w:kinsoku/>
        <w:wordWrap/>
        <w:overflowPunct/>
        <w:topLinePunct w:val="0"/>
        <w:autoSpaceDE/>
        <w:autoSpaceDN/>
        <w:bidi w:val="0"/>
        <w:snapToGrid/>
        <w:spacing w:line="580" w:lineRule="exact"/>
        <w:ind w:firstLine="640" w:firstLineChars="200"/>
        <w:textAlignment w:val="auto"/>
        <w:rPr>
          <w:rFonts w:ascii="仿宋" w:hAnsi="仿宋" w:eastAsia="仿宋" w:cs="仿宋"/>
          <w:color w:val="auto"/>
          <w:sz w:val="32"/>
          <w:szCs w:val="32"/>
        </w:rPr>
      </w:pPr>
      <w:r>
        <w:rPr>
          <w:rFonts w:hint="eastAsia" w:ascii="仿宋" w:hAnsi="仿宋" w:eastAsia="仿宋" w:cs="仿宋"/>
          <w:color w:val="auto"/>
          <w:kern w:val="0"/>
          <w:sz w:val="32"/>
          <w:szCs w:val="32"/>
        </w:rPr>
        <w:t>医用耗材自付比例按自治区医疗保障有关规定执行，其余部分由</w:t>
      </w:r>
      <w:r>
        <w:rPr>
          <w:rFonts w:hint="eastAsia" w:ascii="仿宋" w:hAnsi="仿宋" w:eastAsia="仿宋" w:cs="仿宋"/>
          <w:color w:val="auto"/>
          <w:sz w:val="32"/>
          <w:szCs w:val="32"/>
        </w:rPr>
        <w:t>职工</w:t>
      </w:r>
      <w:r>
        <w:rPr>
          <w:rFonts w:hint="eastAsia" w:ascii="仿宋" w:hAnsi="仿宋" w:eastAsia="仿宋" w:cs="仿宋"/>
          <w:color w:val="auto"/>
          <w:kern w:val="0"/>
          <w:sz w:val="32"/>
          <w:szCs w:val="32"/>
        </w:rPr>
        <w:t>大额医疗保险基金和个人按规定比例支付。</w:t>
      </w:r>
    </w:p>
    <w:p>
      <w:pPr>
        <w:keepNext w:val="0"/>
        <w:keepLines w:val="0"/>
        <w:pageBreakBefore w:val="0"/>
        <w:kinsoku/>
        <w:wordWrap/>
        <w:overflowPunct/>
        <w:topLinePunct w:val="0"/>
        <w:autoSpaceDE/>
        <w:autoSpaceDN/>
        <w:bidi w:val="0"/>
        <w:snapToGrid/>
        <w:spacing w:line="580" w:lineRule="exact"/>
        <w:ind w:firstLine="640" w:firstLineChars="200"/>
        <w:textAlignment w:val="auto"/>
        <w:rPr>
          <w:rFonts w:ascii="仿宋" w:hAnsi="仿宋" w:eastAsia="仿宋" w:cs="仿宋"/>
          <w:color w:val="auto"/>
          <w:sz w:val="32"/>
          <w:szCs w:val="32"/>
        </w:rPr>
      </w:pPr>
      <w:r>
        <w:rPr>
          <w:rFonts w:hint="eastAsia" w:ascii="黑体" w:hAnsi="黑体" w:eastAsia="黑体" w:cs="黑体"/>
          <w:color w:val="auto"/>
          <w:sz w:val="32"/>
          <w:szCs w:val="32"/>
        </w:rPr>
        <w:t>第</w:t>
      </w:r>
      <w:r>
        <w:rPr>
          <w:rFonts w:hint="eastAsia" w:ascii="黑体" w:hAnsi="黑体" w:eastAsia="黑体" w:cs="黑体"/>
          <w:color w:val="auto"/>
          <w:sz w:val="32"/>
          <w:szCs w:val="32"/>
          <w:lang w:eastAsia="zh-CN"/>
        </w:rPr>
        <w:t>三十九</w:t>
      </w:r>
      <w:r>
        <w:rPr>
          <w:rFonts w:hint="eastAsia" w:ascii="黑体" w:hAnsi="黑体" w:eastAsia="黑体" w:cs="黑体"/>
          <w:color w:val="auto"/>
          <w:sz w:val="32"/>
          <w:szCs w:val="32"/>
        </w:rPr>
        <w:t xml:space="preserve">条  </w:t>
      </w:r>
      <w:r>
        <w:rPr>
          <w:rFonts w:hint="eastAsia" w:ascii="仿宋" w:hAnsi="仿宋" w:eastAsia="仿宋" w:cs="仿宋"/>
          <w:color w:val="auto"/>
          <w:sz w:val="32"/>
          <w:szCs w:val="32"/>
        </w:rPr>
        <w:t>参保人员在区内或办理跨省长期异地居住备案后因病在定点医疗机构住院发生的符合“三个目录”内的医疗费用，</w:t>
      </w:r>
      <w:r>
        <w:rPr>
          <w:rFonts w:hint="eastAsia" w:ascii="仿宋" w:hAnsi="仿宋" w:eastAsia="仿宋" w:cs="仿宋"/>
          <w:color w:val="auto"/>
          <w:spacing w:val="-6"/>
          <w:sz w:val="32"/>
          <w:szCs w:val="32"/>
        </w:rPr>
        <w:t>职工大额医疗保险基金支付比例为97%；办理跨省临时异地就医备案后住院或区外出差、探亲突发危急重症住院发生符合“三个目录”内的医疗费用，职工大额医疗保险基金支付比例为92%。</w:t>
      </w:r>
    </w:p>
    <w:p>
      <w:pPr>
        <w:keepNext w:val="0"/>
        <w:keepLines w:val="0"/>
        <w:pageBreakBefore w:val="0"/>
        <w:kinsoku/>
        <w:wordWrap/>
        <w:overflowPunct/>
        <w:topLinePunct w:val="0"/>
        <w:autoSpaceDE/>
        <w:autoSpaceDN/>
        <w:bidi w:val="0"/>
        <w:snapToGrid/>
        <w:spacing w:line="580" w:lineRule="exact"/>
        <w:ind w:firstLine="640" w:firstLineChars="200"/>
        <w:textAlignment w:val="auto"/>
        <w:rPr>
          <w:rFonts w:ascii="仿宋" w:hAnsi="仿宋" w:eastAsia="仿宋" w:cs="仿宋"/>
          <w:color w:val="auto"/>
          <w:sz w:val="32"/>
          <w:szCs w:val="32"/>
        </w:rPr>
      </w:pPr>
      <w:r>
        <w:rPr>
          <w:rFonts w:hint="eastAsia" w:ascii="仿宋" w:hAnsi="仿宋" w:eastAsia="仿宋" w:cs="仿宋"/>
          <w:color w:val="auto"/>
          <w:sz w:val="32"/>
          <w:szCs w:val="32"/>
        </w:rPr>
        <w:t>门急诊发生的符合“三个目录”内的医疗费用，职工大额医疗保险基金支付比例为70%。</w:t>
      </w:r>
    </w:p>
    <w:p>
      <w:pPr>
        <w:keepNext w:val="0"/>
        <w:keepLines w:val="0"/>
        <w:pageBreakBefore w:val="0"/>
        <w:kinsoku/>
        <w:wordWrap/>
        <w:overflowPunct/>
        <w:topLinePunct w:val="0"/>
        <w:autoSpaceDE/>
        <w:autoSpaceDN/>
        <w:bidi w:val="0"/>
        <w:snapToGrid/>
        <w:spacing w:line="580" w:lineRule="exact"/>
        <w:ind w:firstLine="640" w:firstLineChars="200"/>
        <w:textAlignment w:val="auto"/>
        <w:rPr>
          <w:rFonts w:ascii="仿宋" w:hAnsi="仿宋" w:eastAsia="仿宋" w:cs="仿宋"/>
          <w:color w:val="auto"/>
          <w:sz w:val="32"/>
          <w:szCs w:val="32"/>
        </w:rPr>
      </w:pPr>
      <w:r>
        <w:rPr>
          <w:rFonts w:hint="eastAsia" w:ascii="黑体" w:hAnsi="黑体" w:eastAsia="黑体" w:cs="黑体"/>
          <w:color w:val="auto"/>
          <w:sz w:val="32"/>
          <w:szCs w:val="32"/>
        </w:rPr>
        <w:t xml:space="preserve">第四十条  </w:t>
      </w:r>
      <w:r>
        <w:rPr>
          <w:rFonts w:hint="eastAsia" w:ascii="仿宋" w:hAnsi="仿宋" w:eastAsia="仿宋" w:cs="仿宋"/>
          <w:color w:val="auto"/>
          <w:sz w:val="32"/>
          <w:szCs w:val="32"/>
        </w:rPr>
        <w:t>职工大额医疗保险基金与基本医疗保险基金分别运行，分开核算，专款专用，不得相互挤占、挪用。</w:t>
      </w:r>
    </w:p>
    <w:p>
      <w:pPr>
        <w:keepNext w:val="0"/>
        <w:keepLines w:val="0"/>
        <w:pageBreakBefore w:val="0"/>
        <w:kinsoku/>
        <w:wordWrap/>
        <w:overflowPunct/>
        <w:topLinePunct w:val="0"/>
        <w:autoSpaceDE/>
        <w:autoSpaceDN/>
        <w:bidi w:val="0"/>
        <w:snapToGrid/>
        <w:spacing w:line="580" w:lineRule="exact"/>
        <w:ind w:firstLine="640" w:firstLineChars="200"/>
        <w:textAlignment w:val="auto"/>
        <w:rPr>
          <w:rFonts w:ascii="仿宋" w:hAnsi="仿宋" w:eastAsia="仿宋" w:cs="仿宋"/>
          <w:color w:val="auto"/>
          <w:sz w:val="32"/>
          <w:szCs w:val="32"/>
        </w:rPr>
      </w:pPr>
      <w:r>
        <w:rPr>
          <w:rFonts w:hint="eastAsia" w:ascii="黑体" w:hAnsi="黑体" w:eastAsia="黑体" w:cs="黑体"/>
          <w:color w:val="auto"/>
          <w:sz w:val="32"/>
          <w:szCs w:val="32"/>
        </w:rPr>
        <w:t>第四十</w:t>
      </w:r>
      <w:r>
        <w:rPr>
          <w:rFonts w:hint="eastAsia" w:ascii="黑体" w:hAnsi="黑体" w:eastAsia="黑体" w:cs="黑体"/>
          <w:color w:val="auto"/>
          <w:sz w:val="32"/>
          <w:szCs w:val="32"/>
          <w:lang w:eastAsia="zh-CN"/>
        </w:rPr>
        <w:t>一</w:t>
      </w:r>
      <w:r>
        <w:rPr>
          <w:rFonts w:hint="eastAsia" w:ascii="黑体" w:hAnsi="黑体" w:eastAsia="黑体" w:cs="黑体"/>
          <w:color w:val="auto"/>
          <w:sz w:val="32"/>
          <w:szCs w:val="32"/>
        </w:rPr>
        <w:t xml:space="preserve">条  </w:t>
      </w:r>
      <w:r>
        <w:rPr>
          <w:rFonts w:hint="eastAsia" w:ascii="仿宋" w:hAnsi="仿宋" w:eastAsia="仿宋" w:cs="仿宋"/>
          <w:color w:val="auto"/>
          <w:sz w:val="32"/>
          <w:szCs w:val="32"/>
        </w:rPr>
        <w:t>职工大额医疗保险基金有结余的，可与商业保险合作，用于支付参保人员医疗费用中自负部分的费用。</w:t>
      </w:r>
    </w:p>
    <w:p>
      <w:pPr>
        <w:keepNext w:val="0"/>
        <w:keepLines w:val="0"/>
        <w:pageBreakBefore w:val="0"/>
        <w:widowControl w:val="0"/>
        <w:kinsoku/>
        <w:wordWrap/>
        <w:overflowPunct/>
        <w:topLinePunct w:val="0"/>
        <w:autoSpaceDE/>
        <w:autoSpaceDN/>
        <w:bidi w:val="0"/>
        <w:adjustRightInd/>
        <w:snapToGrid/>
        <w:spacing w:before="313" w:beforeLines="100" w:after="313" w:afterLines="100" w:line="580" w:lineRule="exact"/>
        <w:jc w:val="center"/>
        <w:textAlignment w:val="auto"/>
        <w:rPr>
          <w:rFonts w:ascii="黑体" w:hAnsi="黑体" w:eastAsia="黑体" w:cs="黑体"/>
          <w:color w:val="auto"/>
          <w:sz w:val="32"/>
          <w:szCs w:val="32"/>
        </w:rPr>
      </w:pPr>
      <w:r>
        <w:rPr>
          <w:rFonts w:hint="eastAsia" w:ascii="黑体" w:hAnsi="黑体" w:eastAsia="黑体" w:cs="黑体"/>
          <w:color w:val="auto"/>
          <w:sz w:val="32"/>
          <w:szCs w:val="32"/>
        </w:rPr>
        <w:t>第四章   职工基本医疗保险费用结算</w:t>
      </w:r>
    </w:p>
    <w:p>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ascii="仿宋" w:hAnsi="仿宋" w:eastAsia="仿宋" w:cs="仿宋"/>
          <w:color w:val="auto"/>
          <w:sz w:val="32"/>
          <w:szCs w:val="32"/>
        </w:rPr>
      </w:pPr>
      <w:r>
        <w:rPr>
          <w:rFonts w:hint="eastAsia" w:ascii="黑体" w:hAnsi="黑体" w:eastAsia="黑体" w:cs="黑体"/>
          <w:color w:val="auto"/>
          <w:sz w:val="32"/>
          <w:szCs w:val="32"/>
        </w:rPr>
        <w:t>第四十</w:t>
      </w:r>
      <w:r>
        <w:rPr>
          <w:rFonts w:hint="eastAsia" w:ascii="黑体" w:hAnsi="黑体" w:eastAsia="黑体" w:cs="黑体"/>
          <w:color w:val="auto"/>
          <w:sz w:val="32"/>
          <w:szCs w:val="32"/>
          <w:lang w:eastAsia="zh-CN"/>
        </w:rPr>
        <w:t>二</w:t>
      </w:r>
      <w:r>
        <w:rPr>
          <w:rFonts w:hint="eastAsia" w:ascii="黑体" w:hAnsi="黑体" w:eastAsia="黑体" w:cs="黑体"/>
          <w:color w:val="auto"/>
          <w:sz w:val="32"/>
          <w:szCs w:val="32"/>
        </w:rPr>
        <w:t xml:space="preserve">条  </w:t>
      </w:r>
      <w:r>
        <w:rPr>
          <w:rFonts w:hint="eastAsia" w:ascii="仿宋" w:hAnsi="仿宋" w:eastAsia="仿宋" w:cs="仿宋"/>
          <w:color w:val="auto"/>
          <w:sz w:val="32"/>
          <w:szCs w:val="32"/>
        </w:rPr>
        <w:t>自治区本级参保人员在定点医药机构发生的基本医疗保险个人账户基金、统筹基金、职工大额医疗保险基金、公务员医疗补助金，</w:t>
      </w:r>
      <w:r>
        <w:rPr>
          <w:rFonts w:hint="eastAsia" w:ascii="仿宋" w:hAnsi="仿宋" w:eastAsia="仿宋" w:cs="仿宋"/>
          <w:color w:val="auto"/>
          <w:sz w:val="32"/>
          <w:szCs w:val="32"/>
          <w:lang w:eastAsia="zh-CN"/>
        </w:rPr>
        <w:t>自治区医疗保险经办机构</w:t>
      </w:r>
      <w:r>
        <w:rPr>
          <w:rFonts w:hint="eastAsia" w:ascii="仿宋" w:hAnsi="仿宋" w:eastAsia="仿宋" w:cs="仿宋"/>
          <w:color w:val="auto"/>
          <w:sz w:val="32"/>
          <w:szCs w:val="32"/>
        </w:rPr>
        <w:t>与定点医药机构按月结算。</w:t>
      </w:r>
    </w:p>
    <w:p>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ascii="仿宋" w:hAnsi="仿宋" w:eastAsia="仿宋" w:cs="仿宋"/>
          <w:color w:val="auto"/>
          <w:sz w:val="32"/>
          <w:szCs w:val="32"/>
        </w:rPr>
      </w:pPr>
      <w:r>
        <w:rPr>
          <w:rFonts w:hint="default" w:ascii="仿宋" w:hAnsi="仿宋" w:eastAsia="仿宋" w:cs="仿宋"/>
          <w:color w:val="auto"/>
          <w:sz w:val="32"/>
          <w:szCs w:val="32"/>
          <w:lang w:val="en"/>
        </w:rPr>
        <w:t>（</w:t>
      </w:r>
      <w:r>
        <w:rPr>
          <w:rFonts w:hint="eastAsia" w:ascii="仿宋" w:hAnsi="仿宋" w:eastAsia="仿宋" w:cs="仿宋"/>
          <w:color w:val="auto"/>
          <w:sz w:val="32"/>
          <w:szCs w:val="32"/>
        </w:rPr>
        <w:t>一</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结算方式</w:t>
      </w:r>
      <w:r>
        <w:rPr>
          <w:rFonts w:hint="default" w:ascii="仿宋" w:hAnsi="仿宋" w:eastAsia="仿宋" w:cs="仿宋"/>
          <w:color w:val="auto"/>
          <w:sz w:val="32"/>
          <w:szCs w:val="32"/>
          <w:lang w:val="en"/>
        </w:rPr>
        <w:t>：</w:t>
      </w:r>
      <w:r>
        <w:rPr>
          <w:rFonts w:hint="eastAsia" w:ascii="仿宋" w:hAnsi="仿宋" w:eastAsia="仿宋" w:cs="仿宋"/>
          <w:color w:val="auto"/>
          <w:sz w:val="32"/>
          <w:szCs w:val="32"/>
        </w:rPr>
        <w:t>定点医药机构应在金融机构开设基本医疗保险基金结算账户，并将开户银行名称和账号报</w:t>
      </w:r>
      <w:r>
        <w:rPr>
          <w:rFonts w:hint="eastAsia" w:ascii="仿宋" w:hAnsi="仿宋" w:eastAsia="仿宋" w:cs="仿宋"/>
          <w:color w:val="auto"/>
          <w:sz w:val="32"/>
          <w:szCs w:val="32"/>
          <w:lang w:eastAsia="zh-CN"/>
        </w:rPr>
        <w:t>自治区医疗保险经办机构</w:t>
      </w:r>
      <w:r>
        <w:rPr>
          <w:rFonts w:hint="eastAsia" w:ascii="仿宋" w:hAnsi="仿宋" w:eastAsia="仿宋" w:cs="仿宋"/>
          <w:color w:val="auto"/>
          <w:sz w:val="32"/>
          <w:szCs w:val="32"/>
        </w:rPr>
        <w:t>备案，实行转账结算。</w:t>
      </w:r>
    </w:p>
    <w:p>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ascii="仿宋" w:hAnsi="仿宋" w:eastAsia="仿宋" w:cs="仿宋"/>
          <w:color w:val="auto"/>
          <w:sz w:val="32"/>
          <w:szCs w:val="32"/>
        </w:rPr>
      </w:pPr>
      <w:r>
        <w:rPr>
          <w:rFonts w:hint="default" w:ascii="仿宋" w:hAnsi="仿宋" w:eastAsia="仿宋" w:cs="仿宋"/>
          <w:color w:val="auto"/>
          <w:sz w:val="32"/>
          <w:szCs w:val="32"/>
          <w:lang w:val="en"/>
        </w:rPr>
        <w:t>（</w:t>
      </w:r>
      <w:r>
        <w:rPr>
          <w:rFonts w:hint="eastAsia" w:ascii="仿宋" w:hAnsi="仿宋" w:eastAsia="仿宋" w:cs="仿宋"/>
          <w:color w:val="auto"/>
          <w:sz w:val="32"/>
          <w:szCs w:val="32"/>
        </w:rPr>
        <w:t>二</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结算程序</w:t>
      </w:r>
      <w:r>
        <w:rPr>
          <w:rFonts w:hint="default" w:ascii="仿宋" w:hAnsi="仿宋" w:eastAsia="仿宋" w:cs="仿宋"/>
          <w:color w:val="auto"/>
          <w:sz w:val="32"/>
          <w:szCs w:val="32"/>
          <w:lang w:val="en"/>
        </w:rPr>
        <w:t>：</w:t>
      </w:r>
      <w:r>
        <w:rPr>
          <w:rFonts w:hint="eastAsia" w:ascii="仿宋" w:hAnsi="仿宋" w:eastAsia="仿宋" w:cs="仿宋"/>
          <w:color w:val="auto"/>
          <w:sz w:val="32"/>
          <w:szCs w:val="32"/>
        </w:rPr>
        <w:t>定点医药机构每日需进行结账，月底汇总后在次月的1至5日</w:t>
      </w:r>
      <w:r>
        <w:rPr>
          <w:rFonts w:hint="default" w:ascii="仿宋" w:hAnsi="仿宋" w:eastAsia="仿宋" w:cs="仿宋"/>
          <w:color w:val="auto"/>
          <w:sz w:val="32"/>
          <w:szCs w:val="32"/>
          <w:lang w:val="en"/>
        </w:rPr>
        <w:t>（</w:t>
      </w:r>
      <w:r>
        <w:rPr>
          <w:rFonts w:hint="eastAsia" w:ascii="仿宋" w:hAnsi="仿宋" w:eastAsia="仿宋" w:cs="仿宋"/>
          <w:color w:val="auto"/>
          <w:sz w:val="32"/>
          <w:szCs w:val="32"/>
        </w:rPr>
        <w:t>节假日顺延</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将上月基本医疗保险月结算数据推送至</w:t>
      </w:r>
      <w:r>
        <w:rPr>
          <w:rFonts w:hint="eastAsia" w:ascii="仿宋" w:hAnsi="仿宋" w:eastAsia="仿宋" w:cs="仿宋"/>
          <w:color w:val="auto"/>
          <w:sz w:val="32"/>
          <w:szCs w:val="32"/>
          <w:lang w:eastAsia="zh-CN"/>
        </w:rPr>
        <w:t>自治区医疗保险经办机构</w:t>
      </w:r>
      <w:r>
        <w:rPr>
          <w:rFonts w:hint="eastAsia" w:ascii="仿宋" w:hAnsi="仿宋" w:eastAsia="仿宋" w:cs="仿宋"/>
          <w:color w:val="auto"/>
          <w:sz w:val="32"/>
          <w:szCs w:val="32"/>
        </w:rPr>
        <w:t>业务系统核心端，同时将消费明细、日结算单、处方等资料妥善保管备查。</w:t>
      </w:r>
    </w:p>
    <w:p>
      <w:pPr>
        <w:keepNext w:val="0"/>
        <w:keepLines w:val="0"/>
        <w:pageBreakBefore w:val="0"/>
        <w:kinsoku/>
        <w:wordWrap/>
        <w:overflowPunct/>
        <w:topLinePunct w:val="0"/>
        <w:autoSpaceDE/>
        <w:autoSpaceDN/>
        <w:bidi w:val="0"/>
        <w:snapToGrid/>
        <w:spacing w:line="580" w:lineRule="exact"/>
        <w:ind w:firstLine="640" w:firstLineChars="200"/>
        <w:textAlignment w:val="auto"/>
        <w:rPr>
          <w:rFonts w:ascii="仿宋" w:hAnsi="仿宋" w:eastAsia="仿宋" w:cs="仿宋"/>
          <w:color w:val="auto"/>
          <w:sz w:val="32"/>
          <w:szCs w:val="32"/>
        </w:rPr>
      </w:pPr>
      <w:r>
        <w:rPr>
          <w:rFonts w:hint="eastAsia" w:ascii="仿宋" w:hAnsi="仿宋" w:eastAsia="仿宋" w:cs="仿宋"/>
          <w:color w:val="auto"/>
          <w:sz w:val="32"/>
          <w:szCs w:val="32"/>
          <w:lang w:eastAsia="zh-CN"/>
        </w:rPr>
        <w:t>自治区医疗保险经办机构</w:t>
      </w:r>
      <w:r>
        <w:rPr>
          <w:rFonts w:hint="eastAsia" w:ascii="仿宋" w:hAnsi="仿宋" w:eastAsia="仿宋" w:cs="仿宋"/>
          <w:color w:val="auto"/>
          <w:sz w:val="32"/>
          <w:szCs w:val="32"/>
        </w:rPr>
        <w:t>基金管理部门每月对定点医药机构的推送数据进行审核，审核无误后，将基本医疗保险个人账户基金、统筹基金、职工大额医疗保险基金、公务员医疗补助金与定点医药机构进行结算，其中</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普通住院统筹基金按定点医疗机构实际发生额的90%拨付，年底根据医疗机构考核评级、违规扣款及超支分担等进行清算。</w:t>
      </w:r>
    </w:p>
    <w:p>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ascii="仿宋" w:hAnsi="仿宋" w:eastAsia="仿宋" w:cs="仿宋"/>
          <w:color w:val="auto"/>
          <w:sz w:val="32"/>
          <w:szCs w:val="32"/>
        </w:rPr>
      </w:pPr>
      <w:r>
        <w:rPr>
          <w:rFonts w:hint="eastAsia" w:ascii="黑体" w:hAnsi="黑体" w:eastAsia="黑体" w:cs="黑体"/>
          <w:color w:val="auto"/>
          <w:sz w:val="32"/>
          <w:szCs w:val="32"/>
        </w:rPr>
        <w:t>第四十</w:t>
      </w:r>
      <w:r>
        <w:rPr>
          <w:rFonts w:hint="eastAsia" w:ascii="黑体" w:hAnsi="黑体" w:eastAsia="黑体" w:cs="黑体"/>
          <w:color w:val="auto"/>
          <w:sz w:val="32"/>
          <w:szCs w:val="32"/>
          <w:lang w:eastAsia="zh-CN"/>
        </w:rPr>
        <w:t>三</w:t>
      </w:r>
      <w:r>
        <w:rPr>
          <w:rFonts w:hint="eastAsia" w:ascii="黑体" w:hAnsi="黑体" w:eastAsia="黑体" w:cs="黑体"/>
          <w:color w:val="auto"/>
          <w:sz w:val="32"/>
          <w:szCs w:val="32"/>
        </w:rPr>
        <w:t xml:space="preserve">条  </w:t>
      </w:r>
      <w:r>
        <w:rPr>
          <w:rFonts w:hint="eastAsia" w:ascii="仿宋" w:hAnsi="仿宋" w:eastAsia="仿宋" w:cs="仿宋"/>
          <w:color w:val="auto"/>
          <w:sz w:val="32"/>
          <w:szCs w:val="32"/>
        </w:rPr>
        <w:t>参保人员住院发生的由统筹基金支付的医疗费用按“总额预算”下的多种付费方式进行结算。</w:t>
      </w:r>
    </w:p>
    <w:p>
      <w:pPr>
        <w:keepNext w:val="0"/>
        <w:keepLines w:val="0"/>
        <w:pageBreakBefore w:val="0"/>
        <w:widowControl w:val="0"/>
        <w:kinsoku/>
        <w:wordWrap/>
        <w:overflowPunct/>
        <w:topLinePunct/>
        <w:autoSpaceDE/>
        <w:autoSpaceDN/>
        <w:bidi w:val="0"/>
        <w:adjustRightInd/>
        <w:snapToGrid/>
        <w:spacing w:line="580" w:lineRule="exact"/>
        <w:ind w:firstLine="640" w:firstLineChars="200"/>
        <w:jc w:val="both"/>
        <w:textAlignment w:val="auto"/>
        <w:rPr>
          <w:rFonts w:ascii="仿宋" w:hAnsi="仿宋" w:eastAsia="仿宋" w:cs="仿宋"/>
          <w:color w:val="auto"/>
          <w:sz w:val="32"/>
          <w:szCs w:val="32"/>
        </w:rPr>
      </w:pPr>
      <w:r>
        <w:rPr>
          <w:rFonts w:hint="eastAsia" w:ascii="仿宋" w:hAnsi="仿宋" w:eastAsia="仿宋" w:cs="仿宋"/>
          <w:color w:val="auto"/>
          <w:sz w:val="32"/>
          <w:szCs w:val="32"/>
        </w:rPr>
        <w:t>（一）在具备相应诊</w:t>
      </w:r>
      <w:r>
        <w:rPr>
          <w:rFonts w:hint="eastAsia" w:ascii="仿宋" w:hAnsi="仿宋" w:eastAsia="仿宋" w:cs="仿宋"/>
          <w:color w:val="auto"/>
          <w:spacing w:val="0"/>
          <w:sz w:val="32"/>
          <w:szCs w:val="32"/>
        </w:rPr>
        <w:t>疗科目并</w:t>
      </w:r>
      <w:r>
        <w:rPr>
          <w:rFonts w:hint="eastAsia" w:ascii="仿宋" w:hAnsi="仿宋" w:eastAsia="仿宋" w:cs="仿宋"/>
          <w:color w:val="auto"/>
          <w:spacing w:val="-6"/>
          <w:sz w:val="32"/>
          <w:szCs w:val="32"/>
        </w:rPr>
        <w:t>实际开展业务</w:t>
      </w:r>
      <w:r>
        <w:rPr>
          <w:rFonts w:hint="eastAsia" w:ascii="仿宋" w:hAnsi="仿宋" w:eastAsia="仿宋" w:cs="仿宋"/>
          <w:color w:val="auto"/>
          <w:spacing w:val="0"/>
          <w:sz w:val="32"/>
          <w:szCs w:val="32"/>
        </w:rPr>
        <w:t>的定点医疗机构</w:t>
      </w:r>
      <w:r>
        <w:rPr>
          <w:rFonts w:hint="eastAsia" w:ascii="仿宋" w:hAnsi="仿宋" w:eastAsia="仿宋" w:cs="仿宋"/>
          <w:color w:val="auto"/>
          <w:sz w:val="32"/>
          <w:szCs w:val="32"/>
        </w:rPr>
        <w:t>，住院收治相应病种所发生的医疗总费用（不含生育医疗费用）均纳入按病种分值付费（DIP）范围。由</w:t>
      </w:r>
      <w:r>
        <w:rPr>
          <w:rFonts w:hint="eastAsia" w:ascii="仿宋" w:hAnsi="仿宋" w:eastAsia="仿宋" w:cs="仿宋"/>
          <w:color w:val="auto"/>
          <w:sz w:val="32"/>
          <w:szCs w:val="32"/>
          <w:lang w:eastAsia="zh-CN"/>
        </w:rPr>
        <w:t>自治区医疗保险经办机构</w:t>
      </w:r>
      <w:r>
        <w:rPr>
          <w:rFonts w:hint="eastAsia" w:ascii="仿宋" w:hAnsi="仿宋" w:eastAsia="仿宋" w:cs="仿宋"/>
          <w:color w:val="auto"/>
          <w:sz w:val="32"/>
          <w:szCs w:val="32"/>
        </w:rPr>
        <w:t>按照“总额控制、病种赋值、月预结算、年度清算”的原则，与定点医疗机构以按病种分值付费的方式结算。</w:t>
      </w:r>
    </w:p>
    <w:p>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ascii="仿宋" w:hAnsi="仿宋" w:eastAsia="仿宋" w:cs="仿宋"/>
          <w:color w:val="auto"/>
          <w:sz w:val="32"/>
          <w:szCs w:val="32"/>
        </w:rPr>
      </w:pPr>
      <w:r>
        <w:rPr>
          <w:rFonts w:hint="eastAsia" w:ascii="仿宋" w:hAnsi="仿宋" w:eastAsia="仿宋" w:cs="仿宋"/>
          <w:color w:val="auto"/>
          <w:sz w:val="32"/>
          <w:szCs w:val="32"/>
        </w:rPr>
        <w:t>在</w:t>
      </w:r>
      <w:r>
        <w:rPr>
          <w:rFonts w:hint="eastAsia" w:ascii="仿宋" w:hAnsi="仿宋" w:eastAsia="仿宋" w:cs="仿宋"/>
          <w:color w:val="auto"/>
          <w:sz w:val="32"/>
          <w:szCs w:val="32"/>
          <w:lang w:eastAsia="zh-CN"/>
        </w:rPr>
        <w:t>医疗保险</w:t>
      </w:r>
      <w:r>
        <w:rPr>
          <w:rFonts w:hint="eastAsia" w:ascii="仿宋" w:hAnsi="仿宋" w:eastAsia="仿宋" w:cs="仿宋"/>
          <w:color w:val="auto"/>
          <w:sz w:val="32"/>
          <w:szCs w:val="32"/>
        </w:rPr>
        <w:t xml:space="preserve">支出总额框架下建立按病种分值付费的大数据标准体系，纳入DIP管理的定点医疗机构根据总额预算管理要求，建立预算管理制度，形成缜密的预算导向、过程控制和基于预算结果评价的资源配置机制，围绕预算执行的偏离，实施对医疗行为的监管与考核，将考核结果与月预结算、年度清算挂钩。 </w:t>
      </w:r>
    </w:p>
    <w:p>
      <w:pPr>
        <w:keepNext w:val="0"/>
        <w:keepLines w:val="0"/>
        <w:pageBreakBefore w:val="0"/>
        <w:widowControl w:val="0"/>
        <w:kinsoku/>
        <w:wordWrap/>
        <w:overflowPunct/>
        <w:topLinePunct/>
        <w:autoSpaceDE/>
        <w:autoSpaceDN/>
        <w:bidi w:val="0"/>
        <w:adjustRightInd/>
        <w:snapToGrid/>
        <w:spacing w:line="580" w:lineRule="exact"/>
        <w:ind w:firstLine="800" w:firstLineChars="250"/>
        <w:jc w:val="left"/>
        <w:textAlignment w:val="auto"/>
        <w:rPr>
          <w:rFonts w:ascii="仿宋" w:hAnsi="仿宋" w:eastAsia="仿宋" w:cs="仿宋"/>
          <w:color w:val="auto"/>
          <w:sz w:val="32"/>
          <w:szCs w:val="32"/>
        </w:rPr>
      </w:pPr>
      <w:r>
        <w:rPr>
          <w:rFonts w:hint="eastAsia" w:ascii="仿宋" w:hAnsi="仿宋" w:eastAsia="仿宋" w:cs="仿宋"/>
          <w:color w:val="auto"/>
          <w:sz w:val="32"/>
          <w:szCs w:val="32"/>
        </w:rPr>
        <w:t>（二）未纳入DIP管理的</w:t>
      </w:r>
      <w:r>
        <w:rPr>
          <w:rFonts w:hint="eastAsia" w:ascii="仿宋" w:hAnsi="仿宋" w:eastAsia="仿宋" w:cs="仿宋"/>
          <w:color w:val="auto"/>
          <w:spacing w:val="0"/>
          <w:sz w:val="32"/>
          <w:szCs w:val="32"/>
        </w:rPr>
        <w:t>定点医疗机构</w:t>
      </w:r>
      <w:r>
        <w:rPr>
          <w:rFonts w:hint="eastAsia" w:ascii="仿宋" w:hAnsi="仿宋" w:eastAsia="仿宋" w:cs="仿宋"/>
          <w:color w:val="auto"/>
          <w:spacing w:val="-6"/>
          <w:sz w:val="32"/>
          <w:szCs w:val="32"/>
        </w:rPr>
        <w:t>，根</w:t>
      </w:r>
      <w:r>
        <w:rPr>
          <w:rFonts w:hint="eastAsia" w:ascii="仿宋" w:hAnsi="仿宋" w:eastAsia="仿宋" w:cs="仿宋"/>
          <w:color w:val="auto"/>
          <w:sz w:val="32"/>
          <w:szCs w:val="32"/>
        </w:rPr>
        <w:t>据不同级别，参照以前年度或季度每人次住院发生的平均医疗费用，剔除不合理因素，合理制定总量指标和每人次住院平均定额管理标准。定额标准随基本医疗保险基金筹集比例的变化作相应调整。</w:t>
      </w:r>
    </w:p>
    <w:p>
      <w:pPr>
        <w:keepNext w:val="0"/>
        <w:keepLines w:val="0"/>
        <w:pageBreakBefore w:val="0"/>
        <w:widowControl w:val="0"/>
        <w:kinsoku/>
        <w:wordWrap/>
        <w:overflowPunct/>
        <w:topLinePunct/>
        <w:autoSpaceDE/>
        <w:autoSpaceDN/>
        <w:bidi w:val="0"/>
        <w:adjustRightInd w:val="0"/>
        <w:snapToGrid/>
        <w:spacing w:line="580" w:lineRule="exact"/>
        <w:ind w:firstLine="692"/>
        <w:textAlignment w:val="auto"/>
        <w:rPr>
          <w:rFonts w:hint="eastAsia" w:ascii="仿宋" w:hAnsi="仿宋" w:eastAsia="仿宋" w:cs="仿宋"/>
          <w:color w:val="auto"/>
          <w:sz w:val="32"/>
          <w:szCs w:val="32"/>
          <w:lang w:eastAsia="zh-CN"/>
        </w:rPr>
      </w:pPr>
      <w:r>
        <w:rPr>
          <w:rFonts w:hint="eastAsia" w:ascii="黑体" w:hAnsi="黑体" w:eastAsia="黑体" w:cs="黑体"/>
          <w:color w:val="auto"/>
          <w:sz w:val="32"/>
          <w:szCs w:val="32"/>
        </w:rPr>
        <w:t>第四十</w:t>
      </w:r>
      <w:r>
        <w:rPr>
          <w:rFonts w:hint="eastAsia" w:ascii="黑体" w:hAnsi="黑体" w:eastAsia="黑体" w:cs="黑体"/>
          <w:color w:val="auto"/>
          <w:sz w:val="32"/>
          <w:szCs w:val="32"/>
          <w:lang w:eastAsia="zh-CN"/>
        </w:rPr>
        <w:t>四</w:t>
      </w:r>
      <w:r>
        <w:rPr>
          <w:rFonts w:hint="eastAsia" w:ascii="黑体" w:hAnsi="黑体" w:eastAsia="黑体" w:cs="黑体"/>
          <w:color w:val="auto"/>
          <w:sz w:val="32"/>
          <w:szCs w:val="32"/>
        </w:rPr>
        <w:t xml:space="preserve">条  </w:t>
      </w:r>
      <w:r>
        <w:rPr>
          <w:rFonts w:hint="eastAsia" w:ascii="仿宋" w:hAnsi="仿宋" w:eastAsia="仿宋" w:cs="仿宋"/>
          <w:color w:val="auto"/>
          <w:sz w:val="32"/>
          <w:szCs w:val="32"/>
        </w:rPr>
        <w:t>定点医疗机构住院统筹基金支出超支分担</w:t>
      </w:r>
      <w:r>
        <w:rPr>
          <w:rFonts w:hint="eastAsia" w:ascii="仿宋" w:hAnsi="仿宋" w:eastAsia="仿宋" w:cs="仿宋"/>
          <w:color w:val="auto"/>
          <w:sz w:val="32"/>
          <w:szCs w:val="32"/>
          <w:lang w:eastAsia="zh-CN"/>
        </w:rPr>
        <w:t>。</w:t>
      </w:r>
    </w:p>
    <w:p>
      <w:pPr>
        <w:keepNext w:val="0"/>
        <w:keepLines w:val="0"/>
        <w:pageBreakBefore w:val="0"/>
        <w:widowControl w:val="0"/>
        <w:kinsoku/>
        <w:wordWrap/>
        <w:overflowPunct/>
        <w:topLinePunct/>
        <w:autoSpaceDE/>
        <w:autoSpaceDN/>
        <w:bidi w:val="0"/>
        <w:adjustRightInd w:val="0"/>
        <w:snapToGrid/>
        <w:spacing w:line="580" w:lineRule="exact"/>
        <w:ind w:firstLine="692"/>
        <w:textAlignment w:val="auto"/>
        <w:rPr>
          <w:rFonts w:ascii="仿宋" w:hAnsi="仿宋" w:eastAsia="仿宋" w:cs="仿宋"/>
          <w:color w:val="auto"/>
          <w:sz w:val="32"/>
          <w:szCs w:val="32"/>
        </w:rPr>
      </w:pPr>
      <w:r>
        <w:rPr>
          <w:rFonts w:hint="eastAsia" w:ascii="仿宋" w:hAnsi="仿宋" w:eastAsia="仿宋" w:cs="仿宋"/>
          <w:color w:val="auto"/>
          <w:sz w:val="32"/>
          <w:szCs w:val="32"/>
        </w:rPr>
        <w:t>（一）对纳入DIP管理的定点医疗机构年度超支分担按以下标准执行</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当年度纳入按病种分值付费范围参保人员在该定点医疗机构住院发生的实际统筹基金记账费用总额是当年度该定点医疗机构按病种分值付费年度统筹基金预决算支付总额的110%以内时，超额部分的50%由该定点医疗机构承担，另50%由</w:t>
      </w:r>
      <w:r>
        <w:rPr>
          <w:rFonts w:hint="eastAsia" w:ascii="仿宋" w:hAnsi="仿宋" w:eastAsia="仿宋" w:cs="仿宋"/>
          <w:color w:val="auto"/>
          <w:sz w:val="32"/>
          <w:szCs w:val="32"/>
          <w:lang w:eastAsia="zh-CN"/>
        </w:rPr>
        <w:t>自治区医疗保险经办机构</w:t>
      </w:r>
      <w:r>
        <w:rPr>
          <w:rFonts w:hint="eastAsia" w:ascii="仿宋" w:hAnsi="仿宋" w:eastAsia="仿宋" w:cs="仿宋"/>
          <w:color w:val="auto"/>
          <w:sz w:val="32"/>
          <w:szCs w:val="32"/>
        </w:rPr>
        <w:t>根据对定点医疗机构的考核进行合理调节后按比例承担。</w:t>
      </w:r>
    </w:p>
    <w:p>
      <w:pPr>
        <w:keepNext w:val="0"/>
        <w:keepLines w:val="0"/>
        <w:pageBreakBefore w:val="0"/>
        <w:widowControl w:val="0"/>
        <w:kinsoku/>
        <w:wordWrap/>
        <w:overflowPunct/>
        <w:topLinePunct/>
        <w:autoSpaceDE/>
        <w:autoSpaceDN/>
        <w:bidi w:val="0"/>
        <w:adjustRightInd w:val="0"/>
        <w:snapToGrid/>
        <w:spacing w:line="580" w:lineRule="exact"/>
        <w:ind w:firstLine="690"/>
        <w:textAlignment w:val="auto"/>
        <w:rPr>
          <w:rFonts w:ascii="仿宋" w:hAnsi="仿宋" w:eastAsia="仿宋" w:cs="仿宋"/>
          <w:color w:val="auto"/>
          <w:sz w:val="32"/>
          <w:szCs w:val="32"/>
        </w:rPr>
      </w:pPr>
      <w:r>
        <w:rPr>
          <w:rFonts w:hint="eastAsia" w:ascii="仿宋" w:hAnsi="仿宋" w:eastAsia="仿宋" w:cs="仿宋"/>
          <w:color w:val="auto"/>
          <w:sz w:val="32"/>
          <w:szCs w:val="32"/>
        </w:rPr>
        <w:t>当年度纳入按病种分值付费范围参保人员在该定点医疗机构住院发生的实际统筹基金记账费用总额是当年度该定点医疗机构按病种分值付费年度统筹基金预决算支付总额的110%以上时，</w:t>
      </w:r>
      <w:r>
        <w:rPr>
          <w:rFonts w:hint="eastAsia" w:ascii="仿宋" w:hAnsi="仿宋" w:eastAsia="仿宋" w:cs="仿宋"/>
          <w:color w:val="auto"/>
          <w:sz w:val="32"/>
          <w:szCs w:val="32"/>
          <w:lang w:eastAsia="zh-CN"/>
        </w:rPr>
        <w:t>自治区医疗保险经办机构</w:t>
      </w:r>
      <w:r>
        <w:rPr>
          <w:rFonts w:hint="eastAsia" w:ascii="仿宋" w:hAnsi="仿宋" w:eastAsia="仿宋" w:cs="仿宋"/>
          <w:color w:val="auto"/>
          <w:sz w:val="32"/>
          <w:szCs w:val="32"/>
        </w:rPr>
        <w:t>只支付100%-110%以内部分的50%。110%</w:t>
      </w:r>
      <w:r>
        <w:rPr>
          <w:rFonts w:hint="eastAsia" w:ascii="仿宋" w:hAnsi="仿宋" w:eastAsia="仿宋" w:cs="仿宋"/>
          <w:color w:val="auto"/>
          <w:spacing w:val="-6"/>
          <w:sz w:val="32"/>
          <w:szCs w:val="32"/>
        </w:rPr>
        <w:t>以上部分由定点医疗机构自行承担，不纳入超支分担计算范围。</w:t>
      </w:r>
    </w:p>
    <w:p>
      <w:pPr>
        <w:keepNext w:val="0"/>
        <w:keepLines w:val="0"/>
        <w:pageBreakBefore w:val="0"/>
        <w:widowControl w:val="0"/>
        <w:kinsoku/>
        <w:wordWrap/>
        <w:overflowPunct/>
        <w:topLinePunct/>
        <w:autoSpaceDE/>
        <w:autoSpaceDN/>
        <w:bidi w:val="0"/>
        <w:snapToGrid/>
        <w:spacing w:line="580" w:lineRule="exact"/>
        <w:ind w:firstLine="640" w:firstLineChars="200"/>
        <w:textAlignment w:val="auto"/>
        <w:rPr>
          <w:rFonts w:ascii="仿宋" w:hAnsi="仿宋" w:eastAsia="仿宋" w:cs="仿宋"/>
          <w:color w:val="auto"/>
          <w:sz w:val="32"/>
          <w:szCs w:val="32"/>
        </w:rPr>
      </w:pPr>
      <w:r>
        <w:rPr>
          <w:rFonts w:hint="eastAsia" w:ascii="仿宋" w:hAnsi="仿宋" w:eastAsia="仿宋" w:cs="仿宋"/>
          <w:color w:val="auto"/>
          <w:sz w:val="32"/>
          <w:szCs w:val="32"/>
        </w:rPr>
        <w:t>（二）对未纳入DIP管理的定点医疗机构年度超支分担按以下标准执行</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定点医疗机构住院统筹基金支付定额标准可上下浮动10%，定点医疗机构实际发生的住院统筹基金费用，超过定额标准10%—15%之间的，定点医疗机构和</w:t>
      </w:r>
      <w:r>
        <w:rPr>
          <w:rFonts w:hint="eastAsia" w:ascii="仿宋" w:hAnsi="仿宋" w:eastAsia="仿宋" w:cs="仿宋"/>
          <w:color w:val="auto"/>
          <w:sz w:val="32"/>
          <w:szCs w:val="32"/>
          <w:lang w:eastAsia="zh-CN"/>
        </w:rPr>
        <w:t>自治区医疗保险经办机构</w:t>
      </w:r>
      <w:r>
        <w:rPr>
          <w:rFonts w:hint="eastAsia" w:ascii="仿宋" w:hAnsi="仿宋" w:eastAsia="仿宋" w:cs="仿宋"/>
          <w:color w:val="auto"/>
          <w:sz w:val="32"/>
          <w:szCs w:val="32"/>
        </w:rPr>
        <w:t>各自承担超标部分的50%</w:t>
      </w:r>
      <w:r>
        <w:rPr>
          <w:rFonts w:hint="default" w:ascii="仿宋" w:hAnsi="仿宋" w:eastAsia="仿宋" w:cs="仿宋"/>
          <w:color w:val="auto"/>
          <w:sz w:val="32"/>
          <w:szCs w:val="32"/>
          <w:lang w:val="en"/>
        </w:rPr>
        <w:t>；</w:t>
      </w:r>
      <w:r>
        <w:rPr>
          <w:rFonts w:hint="eastAsia" w:ascii="仿宋" w:hAnsi="仿宋" w:eastAsia="仿宋" w:cs="仿宋"/>
          <w:color w:val="auto"/>
          <w:sz w:val="32"/>
          <w:szCs w:val="32"/>
        </w:rPr>
        <w:t>超过定额标准15%以上的部分，全部由定点医疗机构承担。</w:t>
      </w:r>
    </w:p>
    <w:p>
      <w:pPr>
        <w:keepNext w:val="0"/>
        <w:keepLines w:val="0"/>
        <w:pageBreakBefore w:val="0"/>
        <w:kinsoku/>
        <w:wordWrap/>
        <w:overflowPunct/>
        <w:topLinePunct w:val="0"/>
        <w:autoSpaceDE/>
        <w:autoSpaceDN/>
        <w:bidi w:val="0"/>
        <w:snapToGrid/>
        <w:spacing w:line="580" w:lineRule="exact"/>
        <w:ind w:firstLine="640" w:firstLineChars="200"/>
        <w:textAlignment w:val="auto"/>
        <w:rPr>
          <w:rFonts w:ascii="仿宋" w:hAnsi="仿宋" w:eastAsia="仿宋" w:cs="仿宋"/>
          <w:color w:val="auto"/>
          <w:sz w:val="32"/>
          <w:szCs w:val="32"/>
        </w:rPr>
      </w:pPr>
      <w:r>
        <w:rPr>
          <w:rFonts w:hint="eastAsia" w:ascii="仿宋" w:hAnsi="仿宋" w:eastAsia="仿宋" w:cs="仿宋"/>
          <w:color w:val="auto"/>
          <w:sz w:val="32"/>
          <w:szCs w:val="32"/>
        </w:rPr>
        <w:t>定点医疗机构实际发生的住院统筹基金费用低于定额标准10%-15%之间的结余费用，将其结余部分的50%奖给定点医疗机构</w:t>
      </w:r>
      <w:r>
        <w:rPr>
          <w:rFonts w:hint="default" w:ascii="仿宋" w:hAnsi="仿宋" w:eastAsia="仿宋" w:cs="仿宋"/>
          <w:color w:val="auto"/>
          <w:sz w:val="32"/>
          <w:szCs w:val="32"/>
          <w:lang w:val="en"/>
        </w:rPr>
        <w:t>；</w:t>
      </w:r>
      <w:r>
        <w:rPr>
          <w:rFonts w:hint="eastAsia" w:ascii="仿宋" w:hAnsi="仿宋" w:eastAsia="仿宋" w:cs="仿宋"/>
          <w:color w:val="auto"/>
          <w:sz w:val="32"/>
          <w:szCs w:val="32"/>
        </w:rPr>
        <w:t>实际发生的统筹基金费用低于定额标准15%以上的，</w:t>
      </w:r>
      <w:r>
        <w:rPr>
          <w:rFonts w:hint="eastAsia" w:ascii="仿宋" w:hAnsi="仿宋" w:eastAsia="仿宋" w:cs="仿宋"/>
          <w:color w:val="auto"/>
          <w:sz w:val="32"/>
          <w:szCs w:val="32"/>
          <w:lang w:eastAsia="zh-CN"/>
        </w:rPr>
        <w:t>自治区医疗保险经办机构</w:t>
      </w:r>
      <w:r>
        <w:rPr>
          <w:rFonts w:hint="eastAsia" w:ascii="仿宋" w:hAnsi="仿宋" w:eastAsia="仿宋" w:cs="仿宋"/>
          <w:color w:val="auto"/>
          <w:sz w:val="32"/>
          <w:szCs w:val="32"/>
        </w:rPr>
        <w:t>按实际发生的医疗费用结算。</w:t>
      </w:r>
    </w:p>
    <w:p>
      <w:pPr>
        <w:pStyle w:val="10"/>
        <w:keepNext w:val="0"/>
        <w:keepLines w:val="0"/>
        <w:pageBreakBefore w:val="0"/>
        <w:widowControl/>
        <w:kinsoku/>
        <w:wordWrap/>
        <w:overflowPunct/>
        <w:topLinePunct w:val="0"/>
        <w:autoSpaceDE/>
        <w:autoSpaceDN/>
        <w:bidi w:val="0"/>
        <w:snapToGrid/>
        <w:spacing w:line="580" w:lineRule="exact"/>
        <w:ind w:firstLine="640" w:firstLineChars="200"/>
        <w:jc w:val="both"/>
        <w:textAlignment w:val="auto"/>
        <w:rPr>
          <w:rFonts w:ascii="仿宋" w:hAnsi="仿宋" w:eastAsia="仿宋" w:cs="仿宋"/>
          <w:color w:val="auto"/>
          <w:kern w:val="0"/>
          <w:sz w:val="32"/>
          <w:szCs w:val="32"/>
        </w:rPr>
      </w:pPr>
      <w:r>
        <w:rPr>
          <w:rFonts w:hint="eastAsia" w:ascii="黑体" w:hAnsi="黑体" w:eastAsia="黑体" w:cs="黑体"/>
          <w:color w:val="auto"/>
          <w:kern w:val="0"/>
          <w:sz w:val="32"/>
          <w:szCs w:val="32"/>
        </w:rPr>
        <w:t>第</w:t>
      </w:r>
      <w:r>
        <w:rPr>
          <w:rFonts w:hint="eastAsia" w:ascii="黑体" w:hAnsi="黑体" w:eastAsia="黑体" w:cs="黑体"/>
          <w:color w:val="auto"/>
          <w:kern w:val="0"/>
          <w:sz w:val="32"/>
          <w:szCs w:val="32"/>
          <w:lang w:val="en-US" w:eastAsia="zh-CN"/>
        </w:rPr>
        <w:t>四十五</w:t>
      </w:r>
      <w:r>
        <w:rPr>
          <w:rFonts w:hint="eastAsia" w:ascii="黑体" w:hAnsi="黑体" w:eastAsia="黑体" w:cs="黑体"/>
          <w:color w:val="auto"/>
          <w:kern w:val="0"/>
          <w:sz w:val="32"/>
          <w:szCs w:val="32"/>
        </w:rPr>
        <w:t xml:space="preserve">条  </w:t>
      </w:r>
      <w:r>
        <w:rPr>
          <w:rFonts w:hint="eastAsia" w:ascii="仿宋" w:hAnsi="仿宋" w:eastAsia="仿宋" w:cs="仿宋"/>
          <w:color w:val="auto"/>
          <w:kern w:val="0"/>
          <w:sz w:val="32"/>
          <w:szCs w:val="32"/>
        </w:rPr>
        <w:t>参保人员使用乙类药品</w:t>
      </w:r>
      <w:r>
        <w:rPr>
          <w:rFonts w:hint="eastAsia" w:ascii="仿宋" w:hAnsi="仿宋" w:eastAsia="仿宋" w:cs="仿宋"/>
          <w:color w:val="auto"/>
          <w:kern w:val="0"/>
          <w:sz w:val="32"/>
          <w:szCs w:val="32"/>
          <w:lang w:eastAsia="zh-CN"/>
        </w:rPr>
        <w:t>和用</w:t>
      </w:r>
      <w:r>
        <w:rPr>
          <w:rFonts w:hint="eastAsia" w:ascii="仿宋" w:hAnsi="仿宋" w:eastAsia="仿宋" w:cs="仿宋"/>
          <w:color w:val="auto"/>
          <w:kern w:val="0"/>
          <w:sz w:val="32"/>
          <w:szCs w:val="32"/>
        </w:rPr>
        <w:t>基本医疗保险支付部分费用诊疗项目</w:t>
      </w:r>
      <w:r>
        <w:rPr>
          <w:rFonts w:hint="eastAsia" w:ascii="仿宋" w:hAnsi="仿宋" w:eastAsia="仿宋" w:cs="仿宋"/>
          <w:color w:val="auto"/>
          <w:kern w:val="0"/>
          <w:sz w:val="32"/>
          <w:szCs w:val="32"/>
          <w:lang w:eastAsia="zh-CN"/>
        </w:rPr>
        <w:t>治疗</w:t>
      </w:r>
      <w:r>
        <w:rPr>
          <w:rFonts w:hint="eastAsia" w:ascii="仿宋" w:hAnsi="仿宋" w:eastAsia="仿宋" w:cs="仿宋"/>
          <w:color w:val="auto"/>
          <w:kern w:val="0"/>
          <w:sz w:val="32"/>
          <w:szCs w:val="32"/>
        </w:rPr>
        <w:t>的，</w:t>
      </w:r>
      <w:r>
        <w:rPr>
          <w:rFonts w:hint="eastAsia" w:ascii="仿宋" w:hAnsi="仿宋" w:eastAsia="仿宋" w:cs="仿宋"/>
          <w:color w:val="auto"/>
          <w:sz w:val="32"/>
          <w:szCs w:val="32"/>
        </w:rPr>
        <w:t>危急重症参保人员在急救、抢救期间按医嘱使用血液制品、蛋白类制品的，</w:t>
      </w:r>
      <w:r>
        <w:rPr>
          <w:rFonts w:hint="eastAsia" w:ascii="仿宋" w:hAnsi="仿宋" w:eastAsia="仿宋" w:cs="仿宋"/>
          <w:color w:val="auto"/>
          <w:kern w:val="0"/>
          <w:sz w:val="32"/>
          <w:szCs w:val="32"/>
        </w:rPr>
        <w:t>其费用均</w:t>
      </w:r>
      <w:r>
        <w:rPr>
          <w:rFonts w:hint="eastAsia" w:ascii="仿宋" w:hAnsi="仿宋" w:eastAsia="仿宋" w:cs="仿宋"/>
          <w:color w:val="auto"/>
          <w:spacing w:val="6"/>
          <w:kern w:val="0"/>
          <w:sz w:val="32"/>
          <w:szCs w:val="32"/>
        </w:rPr>
        <w:t>由本人支付</w:t>
      </w:r>
      <w:r>
        <w:rPr>
          <w:rFonts w:hint="eastAsia" w:ascii="仿宋" w:hAnsi="仿宋" w:eastAsia="仿宋" w:cs="仿宋"/>
          <w:color w:val="auto"/>
          <w:kern w:val="0"/>
          <w:sz w:val="32"/>
          <w:szCs w:val="32"/>
        </w:rPr>
        <w:t>10%，其余90%由统筹基金、</w:t>
      </w:r>
      <w:r>
        <w:rPr>
          <w:rFonts w:hint="eastAsia" w:ascii="仿宋" w:hAnsi="仿宋" w:eastAsia="仿宋" w:cs="仿宋"/>
          <w:color w:val="auto"/>
          <w:sz w:val="32"/>
          <w:szCs w:val="32"/>
        </w:rPr>
        <w:t>职工</w:t>
      </w:r>
      <w:r>
        <w:rPr>
          <w:rFonts w:hint="eastAsia" w:ascii="仿宋" w:hAnsi="仿宋" w:eastAsia="仿宋" w:cs="仿宋"/>
          <w:color w:val="auto"/>
          <w:kern w:val="0"/>
          <w:sz w:val="32"/>
          <w:szCs w:val="32"/>
        </w:rPr>
        <w:t>大额医疗保险基金和个人按规定比例支付。</w:t>
      </w:r>
    </w:p>
    <w:p>
      <w:pPr>
        <w:pStyle w:val="10"/>
        <w:keepNext w:val="0"/>
        <w:keepLines w:val="0"/>
        <w:pageBreakBefore w:val="0"/>
        <w:widowControl/>
        <w:kinsoku/>
        <w:wordWrap/>
        <w:overflowPunct/>
        <w:topLinePunct w:val="0"/>
        <w:autoSpaceDE/>
        <w:autoSpaceDN/>
        <w:bidi w:val="0"/>
        <w:snapToGrid/>
        <w:spacing w:line="580" w:lineRule="exact"/>
        <w:ind w:firstLine="640" w:firstLineChars="200"/>
        <w:jc w:val="left"/>
        <w:textAlignment w:val="auto"/>
        <w:rPr>
          <w:rFonts w:ascii="仿宋" w:hAnsi="仿宋" w:eastAsia="仿宋" w:cs="仿宋"/>
          <w:color w:val="auto"/>
          <w:sz w:val="32"/>
          <w:szCs w:val="32"/>
        </w:rPr>
      </w:pPr>
      <w:r>
        <w:rPr>
          <w:rFonts w:hint="eastAsia" w:ascii="仿宋" w:hAnsi="仿宋" w:eastAsia="仿宋" w:cs="仿宋"/>
          <w:color w:val="auto"/>
          <w:kern w:val="0"/>
          <w:sz w:val="32"/>
          <w:szCs w:val="32"/>
        </w:rPr>
        <w:t>医用耗材自付比例按自治区医疗保障有关规定执行，其余部分由统筹基金、</w:t>
      </w:r>
      <w:r>
        <w:rPr>
          <w:rFonts w:hint="eastAsia" w:ascii="仿宋" w:hAnsi="仿宋" w:eastAsia="仿宋" w:cs="仿宋"/>
          <w:color w:val="auto"/>
          <w:sz w:val="32"/>
          <w:szCs w:val="32"/>
        </w:rPr>
        <w:t>职工</w:t>
      </w:r>
      <w:r>
        <w:rPr>
          <w:rFonts w:hint="eastAsia" w:ascii="仿宋" w:hAnsi="仿宋" w:eastAsia="仿宋" w:cs="仿宋"/>
          <w:color w:val="auto"/>
          <w:kern w:val="0"/>
          <w:sz w:val="32"/>
          <w:szCs w:val="32"/>
        </w:rPr>
        <w:t>大额医疗保险基金和个人按规定比例支付。</w:t>
      </w:r>
    </w:p>
    <w:p>
      <w:pPr>
        <w:keepNext w:val="0"/>
        <w:keepLines w:val="0"/>
        <w:pageBreakBefore w:val="0"/>
        <w:kinsoku/>
        <w:wordWrap/>
        <w:overflowPunct/>
        <w:topLinePunct w:val="0"/>
        <w:autoSpaceDE/>
        <w:autoSpaceDN/>
        <w:bidi w:val="0"/>
        <w:snapToGrid/>
        <w:spacing w:line="580" w:lineRule="exact"/>
        <w:ind w:firstLine="640" w:firstLineChars="200"/>
        <w:textAlignment w:val="auto"/>
        <w:rPr>
          <w:rFonts w:ascii="仿宋" w:hAnsi="仿宋" w:eastAsia="仿宋" w:cs="仿宋"/>
          <w:color w:val="auto"/>
          <w:sz w:val="32"/>
          <w:szCs w:val="32"/>
        </w:rPr>
      </w:pPr>
      <w:r>
        <w:rPr>
          <w:rFonts w:hint="eastAsia" w:ascii="黑体" w:hAnsi="黑体" w:eastAsia="黑体" w:cs="黑体"/>
          <w:color w:val="auto"/>
          <w:sz w:val="32"/>
          <w:szCs w:val="32"/>
        </w:rPr>
        <w:t>第</w:t>
      </w:r>
      <w:r>
        <w:rPr>
          <w:rFonts w:hint="eastAsia" w:ascii="黑体" w:hAnsi="黑体" w:eastAsia="黑体" w:cs="黑体"/>
          <w:color w:val="auto"/>
          <w:sz w:val="32"/>
          <w:szCs w:val="32"/>
          <w:lang w:val="en-US" w:eastAsia="zh-CN"/>
        </w:rPr>
        <w:t>四十六</w:t>
      </w:r>
      <w:r>
        <w:rPr>
          <w:rFonts w:hint="eastAsia" w:ascii="黑体" w:hAnsi="黑体" w:eastAsia="黑体" w:cs="黑体"/>
          <w:color w:val="auto"/>
          <w:sz w:val="32"/>
          <w:szCs w:val="32"/>
        </w:rPr>
        <w:t xml:space="preserve">条  </w:t>
      </w:r>
      <w:r>
        <w:rPr>
          <w:rFonts w:hint="eastAsia" w:ascii="仿宋" w:hAnsi="仿宋" w:eastAsia="仿宋" w:cs="仿宋"/>
          <w:color w:val="auto"/>
          <w:sz w:val="32"/>
          <w:szCs w:val="32"/>
        </w:rPr>
        <w:t>参保人员在本级定点医疗机构发生的急诊费用</w:t>
      </w:r>
      <w:r>
        <w:rPr>
          <w:rFonts w:hint="default" w:ascii="仿宋" w:hAnsi="仿宋" w:eastAsia="仿宋" w:cs="仿宋"/>
          <w:color w:val="auto"/>
          <w:sz w:val="32"/>
          <w:szCs w:val="32"/>
          <w:lang w:val="en"/>
        </w:rPr>
        <w:t>（</w:t>
      </w:r>
      <w:r>
        <w:rPr>
          <w:rFonts w:hint="eastAsia" w:ascii="仿宋" w:hAnsi="仿宋" w:eastAsia="仿宋" w:cs="仿宋"/>
          <w:color w:val="auto"/>
          <w:sz w:val="32"/>
          <w:szCs w:val="32"/>
        </w:rPr>
        <w:t>限三天内</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，由定点医疗机构负责按规定标准直接结算。</w:t>
      </w:r>
    </w:p>
    <w:p>
      <w:pPr>
        <w:keepNext w:val="0"/>
        <w:keepLines w:val="0"/>
        <w:pageBreakBefore w:val="0"/>
        <w:kinsoku/>
        <w:wordWrap/>
        <w:overflowPunct/>
        <w:topLinePunct w:val="0"/>
        <w:autoSpaceDE/>
        <w:autoSpaceDN/>
        <w:bidi w:val="0"/>
        <w:snapToGrid/>
        <w:spacing w:line="580" w:lineRule="exact"/>
        <w:ind w:firstLine="640" w:firstLineChars="200"/>
        <w:textAlignment w:val="auto"/>
        <w:rPr>
          <w:rFonts w:ascii="仿宋" w:hAnsi="仿宋" w:eastAsia="仿宋" w:cs="仿宋"/>
          <w:color w:val="auto"/>
          <w:sz w:val="32"/>
          <w:szCs w:val="32"/>
        </w:rPr>
      </w:pPr>
      <w:r>
        <w:rPr>
          <w:rFonts w:hint="eastAsia" w:ascii="仿宋" w:hAnsi="仿宋" w:eastAsia="仿宋" w:cs="仿宋"/>
          <w:color w:val="auto"/>
          <w:sz w:val="32"/>
          <w:szCs w:val="32"/>
        </w:rPr>
        <w:t>参保人员在自治区外因公出差或探亲期间发生的符合有关规定的住院或紧急抢救的医疗费用，</w:t>
      </w:r>
      <w:r>
        <w:rPr>
          <w:rFonts w:hint="eastAsia" w:ascii="仿宋" w:hAnsi="仿宋" w:eastAsia="仿宋" w:cs="仿宋"/>
          <w:color w:val="auto"/>
          <w:spacing w:val="6"/>
          <w:sz w:val="32"/>
          <w:szCs w:val="32"/>
        </w:rPr>
        <w:t>先由参保单位或个人垫</w:t>
      </w:r>
      <w:r>
        <w:rPr>
          <w:rFonts w:hint="eastAsia" w:ascii="仿宋" w:hAnsi="仿宋" w:eastAsia="仿宋" w:cs="仿宋"/>
          <w:color w:val="auto"/>
          <w:sz w:val="32"/>
          <w:szCs w:val="32"/>
        </w:rPr>
        <w:t>付，诊治结束后，凭就诊医疗机构的病历资料、诊断证明、医疗费收据、费用清单等有效凭证，到</w:t>
      </w:r>
      <w:r>
        <w:rPr>
          <w:rFonts w:hint="eastAsia" w:ascii="仿宋" w:hAnsi="仿宋" w:eastAsia="仿宋" w:cs="仿宋"/>
          <w:color w:val="auto"/>
          <w:sz w:val="32"/>
          <w:szCs w:val="32"/>
          <w:lang w:eastAsia="zh-CN"/>
        </w:rPr>
        <w:t>医疗保险</w:t>
      </w:r>
      <w:r>
        <w:rPr>
          <w:rFonts w:hint="eastAsia" w:ascii="仿宋" w:hAnsi="仿宋" w:eastAsia="仿宋" w:cs="仿宋"/>
          <w:color w:val="auto"/>
          <w:sz w:val="32"/>
          <w:szCs w:val="32"/>
        </w:rPr>
        <w:t>经办窗口办理报销手续。</w:t>
      </w:r>
    </w:p>
    <w:p>
      <w:pPr>
        <w:keepNext w:val="0"/>
        <w:keepLines w:val="0"/>
        <w:pageBreakBefore w:val="0"/>
        <w:kinsoku/>
        <w:wordWrap/>
        <w:overflowPunct/>
        <w:topLinePunct w:val="0"/>
        <w:autoSpaceDE/>
        <w:autoSpaceDN/>
        <w:bidi w:val="0"/>
        <w:snapToGrid/>
        <w:spacing w:line="580" w:lineRule="exact"/>
        <w:ind w:firstLine="640" w:firstLineChars="200"/>
        <w:textAlignment w:val="auto"/>
        <w:rPr>
          <w:rFonts w:ascii="仿宋" w:hAnsi="仿宋" w:eastAsia="仿宋" w:cs="仿宋"/>
          <w:color w:val="auto"/>
          <w:sz w:val="32"/>
          <w:szCs w:val="32"/>
        </w:rPr>
      </w:pPr>
      <w:r>
        <w:rPr>
          <w:rFonts w:hint="eastAsia" w:ascii="仿宋" w:hAnsi="仿宋" w:eastAsia="仿宋" w:cs="仿宋"/>
          <w:color w:val="auto"/>
          <w:sz w:val="32"/>
          <w:szCs w:val="32"/>
          <w:lang w:eastAsia="zh-CN"/>
        </w:rPr>
        <w:t>自治区</w:t>
      </w:r>
      <w:r>
        <w:rPr>
          <w:rFonts w:hint="eastAsia" w:ascii="仿宋" w:hAnsi="仿宋" w:eastAsia="仿宋" w:cs="仿宋"/>
          <w:color w:val="auto"/>
          <w:sz w:val="32"/>
          <w:szCs w:val="32"/>
        </w:rPr>
        <w:t>外发生的住院医疗费用，报销比例在本地住院报销标准的基础上</w:t>
      </w:r>
      <w:r>
        <w:rPr>
          <w:rFonts w:hint="eastAsia" w:ascii="仿宋" w:hAnsi="仿宋" w:eastAsia="仿宋" w:cs="仿宋"/>
          <w:color w:val="auto"/>
          <w:sz w:val="32"/>
          <w:szCs w:val="32"/>
          <w:lang w:eastAsia="zh-CN"/>
        </w:rPr>
        <w:t>降</w:t>
      </w:r>
      <w:r>
        <w:rPr>
          <w:rFonts w:hint="eastAsia" w:ascii="仿宋" w:hAnsi="仿宋" w:eastAsia="仿宋" w:cs="仿宋"/>
          <w:color w:val="auto"/>
          <w:sz w:val="32"/>
          <w:szCs w:val="32"/>
        </w:rPr>
        <w:t>低5%，</w:t>
      </w:r>
      <w:r>
        <w:rPr>
          <w:rFonts w:hint="eastAsia" w:ascii="仿宋" w:hAnsi="仿宋" w:eastAsia="仿宋" w:cs="仿宋"/>
          <w:color w:val="auto"/>
          <w:sz w:val="32"/>
          <w:szCs w:val="32"/>
          <w:lang w:eastAsia="zh-CN"/>
        </w:rPr>
        <w:t>自治区</w:t>
      </w:r>
      <w:r>
        <w:rPr>
          <w:rFonts w:hint="eastAsia" w:ascii="仿宋" w:hAnsi="仿宋" w:eastAsia="仿宋" w:cs="仿宋"/>
          <w:color w:val="auto"/>
          <w:sz w:val="32"/>
          <w:szCs w:val="32"/>
        </w:rPr>
        <w:t>内发生的住院医疗费用按本地住院报销标准执行。</w:t>
      </w:r>
    </w:p>
    <w:p>
      <w:pPr>
        <w:keepNext w:val="0"/>
        <w:keepLines w:val="0"/>
        <w:pageBreakBefore w:val="0"/>
        <w:kinsoku/>
        <w:wordWrap/>
        <w:overflowPunct/>
        <w:topLinePunct w:val="0"/>
        <w:autoSpaceDE/>
        <w:autoSpaceDN/>
        <w:bidi w:val="0"/>
        <w:snapToGrid/>
        <w:spacing w:line="580" w:lineRule="exact"/>
        <w:ind w:firstLine="640" w:firstLineChars="200"/>
        <w:textAlignment w:val="auto"/>
        <w:rPr>
          <w:rFonts w:ascii="仿宋" w:hAnsi="仿宋" w:eastAsia="仿宋" w:cs="仿宋"/>
          <w:color w:val="auto"/>
          <w:sz w:val="32"/>
          <w:szCs w:val="32"/>
        </w:rPr>
      </w:pPr>
      <w:r>
        <w:rPr>
          <w:rFonts w:hint="eastAsia" w:ascii="黑体" w:hAnsi="黑体" w:eastAsia="黑体" w:cs="黑体"/>
          <w:color w:val="auto"/>
          <w:sz w:val="32"/>
          <w:szCs w:val="32"/>
        </w:rPr>
        <w:t>第</w:t>
      </w:r>
      <w:r>
        <w:rPr>
          <w:rFonts w:hint="eastAsia" w:ascii="黑体" w:hAnsi="黑体" w:eastAsia="黑体" w:cs="黑体"/>
          <w:color w:val="auto"/>
          <w:sz w:val="32"/>
          <w:szCs w:val="32"/>
          <w:lang w:eastAsia="zh-CN"/>
        </w:rPr>
        <w:t>四十七</w:t>
      </w:r>
      <w:r>
        <w:rPr>
          <w:rFonts w:hint="eastAsia" w:ascii="黑体" w:hAnsi="黑体" w:eastAsia="黑体" w:cs="黑体"/>
          <w:color w:val="auto"/>
          <w:sz w:val="32"/>
          <w:szCs w:val="32"/>
        </w:rPr>
        <w:t xml:space="preserve">条  </w:t>
      </w:r>
      <w:r>
        <w:rPr>
          <w:rFonts w:hint="eastAsia" w:ascii="仿宋" w:hAnsi="仿宋" w:eastAsia="仿宋" w:cs="仿宋"/>
          <w:color w:val="auto"/>
          <w:sz w:val="32"/>
          <w:szCs w:val="32"/>
        </w:rPr>
        <w:t>办理跨省临时异地就医备案的参保人员在定点医疗机构发生的医疗费用可实时结算，未实时结算的医疗费用需由本人垫付，诊治结束后提供费用结算票据、费用明细、诊断书到</w:t>
      </w:r>
      <w:r>
        <w:rPr>
          <w:rFonts w:hint="eastAsia" w:ascii="仿宋" w:hAnsi="仿宋" w:eastAsia="仿宋" w:cs="仿宋"/>
          <w:color w:val="auto"/>
          <w:sz w:val="32"/>
          <w:szCs w:val="32"/>
          <w:lang w:eastAsia="zh-CN"/>
        </w:rPr>
        <w:t>医疗保险</w:t>
      </w:r>
      <w:r>
        <w:rPr>
          <w:rFonts w:hint="eastAsia" w:ascii="仿宋" w:hAnsi="仿宋" w:eastAsia="仿宋" w:cs="仿宋"/>
          <w:color w:val="auto"/>
          <w:sz w:val="32"/>
          <w:szCs w:val="32"/>
        </w:rPr>
        <w:t>经办窗口办理报销手续。</w:t>
      </w:r>
    </w:p>
    <w:p>
      <w:pPr>
        <w:keepNext w:val="0"/>
        <w:keepLines w:val="0"/>
        <w:pageBreakBefore w:val="0"/>
        <w:kinsoku/>
        <w:wordWrap/>
        <w:overflowPunct/>
        <w:topLinePunct w:val="0"/>
        <w:autoSpaceDE/>
        <w:autoSpaceDN/>
        <w:bidi w:val="0"/>
        <w:snapToGrid/>
        <w:spacing w:line="580" w:lineRule="exact"/>
        <w:ind w:firstLine="616" w:firstLineChars="200"/>
        <w:textAlignment w:val="auto"/>
        <w:rPr>
          <w:rFonts w:ascii="仿宋" w:hAnsi="仿宋" w:eastAsia="仿宋" w:cs="仿宋"/>
          <w:color w:val="auto"/>
          <w:sz w:val="32"/>
          <w:szCs w:val="32"/>
        </w:rPr>
      </w:pPr>
      <w:r>
        <w:rPr>
          <w:rFonts w:hint="eastAsia" w:ascii="仿宋" w:hAnsi="仿宋" w:eastAsia="仿宋" w:cs="仿宋"/>
          <w:color w:val="auto"/>
          <w:spacing w:val="-6"/>
          <w:sz w:val="32"/>
          <w:szCs w:val="32"/>
        </w:rPr>
        <w:t>住院医疗费用报销比例在本地住院报销标准的基础上降低5%。</w:t>
      </w:r>
    </w:p>
    <w:p>
      <w:pPr>
        <w:keepNext w:val="0"/>
        <w:keepLines w:val="0"/>
        <w:pageBreakBefore w:val="0"/>
        <w:kinsoku/>
        <w:wordWrap/>
        <w:overflowPunct/>
        <w:topLinePunct w:val="0"/>
        <w:autoSpaceDE/>
        <w:autoSpaceDN/>
        <w:bidi w:val="0"/>
        <w:snapToGrid/>
        <w:spacing w:line="580" w:lineRule="exact"/>
        <w:ind w:firstLine="640" w:firstLineChars="200"/>
        <w:textAlignment w:val="auto"/>
        <w:rPr>
          <w:rFonts w:ascii="仿宋" w:hAnsi="仿宋" w:eastAsia="仿宋" w:cs="仿宋"/>
          <w:color w:val="auto"/>
          <w:sz w:val="32"/>
          <w:szCs w:val="32"/>
        </w:rPr>
      </w:pPr>
      <w:r>
        <w:rPr>
          <w:rFonts w:hint="eastAsia" w:ascii="黑体" w:hAnsi="黑体" w:eastAsia="黑体" w:cs="黑体"/>
          <w:color w:val="auto"/>
          <w:sz w:val="32"/>
          <w:szCs w:val="32"/>
        </w:rPr>
        <w:t>第</w:t>
      </w:r>
      <w:r>
        <w:rPr>
          <w:rFonts w:hint="eastAsia" w:ascii="黑体" w:hAnsi="黑体" w:eastAsia="黑体" w:cs="黑体"/>
          <w:color w:val="auto"/>
          <w:sz w:val="32"/>
          <w:szCs w:val="32"/>
          <w:lang w:eastAsia="zh-CN"/>
        </w:rPr>
        <w:t>四十八</w:t>
      </w:r>
      <w:r>
        <w:rPr>
          <w:rFonts w:hint="eastAsia" w:ascii="黑体" w:hAnsi="黑体" w:eastAsia="黑体" w:cs="黑体"/>
          <w:color w:val="auto"/>
          <w:sz w:val="32"/>
          <w:szCs w:val="32"/>
        </w:rPr>
        <w:t xml:space="preserve">条  </w:t>
      </w:r>
      <w:r>
        <w:rPr>
          <w:rFonts w:hint="eastAsia" w:ascii="仿宋" w:hAnsi="仿宋" w:eastAsia="仿宋" w:cs="仿宋"/>
          <w:color w:val="auto"/>
          <w:sz w:val="32"/>
          <w:szCs w:val="32"/>
        </w:rPr>
        <w:t>办理跨省长期异地居住备案的参保人员，在就医地</w:t>
      </w:r>
      <w:r>
        <w:rPr>
          <w:rFonts w:hint="eastAsia" w:ascii="仿宋" w:hAnsi="仿宋" w:eastAsia="仿宋" w:cs="仿宋"/>
          <w:color w:val="auto"/>
          <w:sz w:val="32"/>
          <w:szCs w:val="32"/>
          <w:lang w:eastAsia="zh-CN"/>
        </w:rPr>
        <w:t>医疗保险</w:t>
      </w:r>
      <w:r>
        <w:rPr>
          <w:rFonts w:hint="eastAsia" w:ascii="仿宋" w:hAnsi="仿宋" w:eastAsia="仿宋" w:cs="仿宋"/>
          <w:color w:val="auto"/>
          <w:sz w:val="32"/>
          <w:szCs w:val="32"/>
        </w:rPr>
        <w:t>定点医药机构就医购药发生的符合规定的医疗费用纳入报销范围。所发生的医疗费用可实时结算，未能实时结算的医疗费用由本人垫付，就医结束后，持有效凭证到</w:t>
      </w:r>
      <w:r>
        <w:rPr>
          <w:rFonts w:hint="eastAsia" w:ascii="仿宋" w:hAnsi="仿宋" w:eastAsia="仿宋" w:cs="仿宋"/>
          <w:color w:val="auto"/>
          <w:sz w:val="32"/>
          <w:szCs w:val="32"/>
          <w:lang w:eastAsia="zh-CN"/>
        </w:rPr>
        <w:t>医疗保险</w:t>
      </w:r>
      <w:r>
        <w:rPr>
          <w:rFonts w:hint="eastAsia" w:ascii="仿宋" w:hAnsi="仿宋" w:eastAsia="仿宋" w:cs="仿宋"/>
          <w:color w:val="auto"/>
          <w:sz w:val="32"/>
          <w:szCs w:val="32"/>
        </w:rPr>
        <w:t>经办</w:t>
      </w:r>
      <w:r>
        <w:rPr>
          <w:rFonts w:hint="eastAsia" w:ascii="仿宋" w:hAnsi="仿宋" w:eastAsia="仿宋" w:cs="仿宋"/>
          <w:color w:val="auto"/>
          <w:spacing w:val="-6"/>
          <w:sz w:val="32"/>
          <w:szCs w:val="32"/>
        </w:rPr>
        <w:t>窗口办理报销手续。所发生医疗费用按参保所在地报销比例执行。</w:t>
      </w:r>
    </w:p>
    <w:p>
      <w:pPr>
        <w:keepNext w:val="0"/>
        <w:keepLines w:val="0"/>
        <w:pageBreakBefore w:val="0"/>
        <w:kinsoku/>
        <w:wordWrap/>
        <w:overflowPunct/>
        <w:topLinePunct w:val="0"/>
        <w:autoSpaceDE/>
        <w:autoSpaceDN/>
        <w:bidi w:val="0"/>
        <w:snapToGrid/>
        <w:spacing w:line="580" w:lineRule="exact"/>
        <w:ind w:firstLine="640" w:firstLineChars="200"/>
        <w:textAlignment w:val="auto"/>
        <w:rPr>
          <w:rFonts w:ascii="仿宋" w:hAnsi="仿宋" w:eastAsia="仿宋" w:cs="仿宋"/>
          <w:color w:val="auto"/>
          <w:sz w:val="32"/>
          <w:szCs w:val="32"/>
        </w:rPr>
      </w:pPr>
      <w:r>
        <w:rPr>
          <w:rFonts w:hint="eastAsia" w:ascii="黑体" w:hAnsi="黑体" w:eastAsia="黑体" w:cs="黑体"/>
          <w:color w:val="auto"/>
          <w:sz w:val="32"/>
          <w:szCs w:val="32"/>
        </w:rPr>
        <w:t>第</w:t>
      </w:r>
      <w:r>
        <w:rPr>
          <w:rFonts w:hint="eastAsia" w:ascii="黑体" w:hAnsi="黑体" w:eastAsia="黑体" w:cs="黑体"/>
          <w:color w:val="auto"/>
          <w:sz w:val="32"/>
          <w:szCs w:val="32"/>
          <w:lang w:eastAsia="zh-CN"/>
        </w:rPr>
        <w:t>四十九</w:t>
      </w:r>
      <w:r>
        <w:rPr>
          <w:rFonts w:hint="eastAsia" w:ascii="黑体" w:hAnsi="黑体" w:eastAsia="黑体" w:cs="黑体"/>
          <w:color w:val="auto"/>
          <w:sz w:val="32"/>
          <w:szCs w:val="32"/>
        </w:rPr>
        <w:t xml:space="preserve">条  </w:t>
      </w:r>
      <w:r>
        <w:rPr>
          <w:rFonts w:hint="eastAsia" w:ascii="仿宋" w:hAnsi="仿宋" w:eastAsia="仿宋" w:cs="仿宋"/>
          <w:color w:val="auto"/>
          <w:sz w:val="32"/>
          <w:szCs w:val="32"/>
        </w:rPr>
        <w:t>参保人员中断基本医疗保险关系6个月（含）以内接续关系的，补交中断期间的基本医疗保险费，补缴当月即可享受医疗待遇，中断期间的待遇可按规定追溯享受，按比例划拨个人账户，缴费年限可连续计算</w:t>
      </w:r>
      <w:r>
        <w:rPr>
          <w:rFonts w:hint="default" w:ascii="仿宋" w:hAnsi="仿宋" w:eastAsia="仿宋" w:cs="仿宋"/>
          <w:color w:val="auto"/>
          <w:sz w:val="32"/>
          <w:szCs w:val="32"/>
          <w:lang w:val="en"/>
        </w:rPr>
        <w:t>；</w:t>
      </w:r>
      <w:r>
        <w:rPr>
          <w:rFonts w:hint="eastAsia" w:ascii="仿宋" w:hAnsi="仿宋" w:eastAsia="仿宋" w:cs="仿宋"/>
          <w:color w:val="auto"/>
          <w:sz w:val="32"/>
          <w:szCs w:val="32"/>
        </w:rPr>
        <w:t>中断缴费6个月以上接续医疗保险关系的，中断期间发生的医疗费用不予报销。</w:t>
      </w:r>
    </w:p>
    <w:p>
      <w:pPr>
        <w:keepNext w:val="0"/>
        <w:keepLines w:val="0"/>
        <w:pageBreakBefore w:val="0"/>
        <w:kinsoku/>
        <w:wordWrap/>
        <w:overflowPunct/>
        <w:topLinePunct w:val="0"/>
        <w:autoSpaceDE/>
        <w:autoSpaceDN/>
        <w:bidi w:val="0"/>
        <w:snapToGrid/>
        <w:spacing w:line="580" w:lineRule="exact"/>
        <w:ind w:firstLine="640" w:firstLineChars="200"/>
        <w:textAlignment w:val="auto"/>
        <w:rPr>
          <w:rFonts w:ascii="仿宋" w:hAnsi="仿宋" w:eastAsia="仿宋" w:cs="仿宋"/>
          <w:color w:val="auto"/>
          <w:sz w:val="32"/>
          <w:szCs w:val="32"/>
        </w:rPr>
      </w:pPr>
      <w:r>
        <w:rPr>
          <w:rFonts w:hint="eastAsia" w:ascii="黑体" w:hAnsi="黑体" w:eastAsia="黑体" w:cs="黑体"/>
          <w:color w:val="auto"/>
          <w:sz w:val="32"/>
          <w:szCs w:val="32"/>
        </w:rPr>
        <w:t>第五十条</w:t>
      </w:r>
      <w:r>
        <w:rPr>
          <w:rFonts w:hint="eastAsia" w:ascii="仿宋" w:hAnsi="仿宋" w:eastAsia="仿宋" w:cs="仿宋"/>
          <w:color w:val="auto"/>
          <w:sz w:val="32"/>
          <w:szCs w:val="32"/>
        </w:rPr>
        <w:t xml:space="preserve">  参保人员使用个人账户资金结算的医疗费用，医保基金不再予以报销。</w:t>
      </w:r>
    </w:p>
    <w:p>
      <w:pPr>
        <w:keepNext w:val="0"/>
        <w:keepLines w:val="0"/>
        <w:pageBreakBefore w:val="0"/>
        <w:kinsoku/>
        <w:wordWrap/>
        <w:overflowPunct/>
        <w:topLinePunct w:val="0"/>
        <w:autoSpaceDE/>
        <w:autoSpaceDN/>
        <w:bidi w:val="0"/>
        <w:snapToGrid/>
        <w:spacing w:line="580" w:lineRule="exact"/>
        <w:ind w:firstLine="640" w:firstLineChars="200"/>
        <w:textAlignment w:val="auto"/>
        <w:rPr>
          <w:rFonts w:ascii="仿宋" w:hAnsi="仿宋" w:eastAsia="仿宋" w:cs="仿宋"/>
          <w:color w:val="auto"/>
          <w:sz w:val="32"/>
          <w:szCs w:val="32"/>
        </w:rPr>
      </w:pPr>
      <w:r>
        <w:rPr>
          <w:rFonts w:hint="eastAsia" w:ascii="黑体" w:hAnsi="黑体" w:eastAsia="黑体" w:cs="黑体"/>
          <w:color w:val="auto"/>
          <w:sz w:val="32"/>
          <w:szCs w:val="32"/>
        </w:rPr>
        <w:t>第五十</w:t>
      </w:r>
      <w:r>
        <w:rPr>
          <w:rFonts w:hint="eastAsia" w:ascii="黑体" w:hAnsi="黑体" w:eastAsia="黑体" w:cs="黑体"/>
          <w:color w:val="auto"/>
          <w:sz w:val="32"/>
          <w:szCs w:val="32"/>
          <w:lang w:eastAsia="zh-CN"/>
        </w:rPr>
        <w:t>一</w:t>
      </w:r>
      <w:r>
        <w:rPr>
          <w:rFonts w:hint="eastAsia" w:ascii="黑体" w:hAnsi="黑体" w:eastAsia="黑体" w:cs="黑体"/>
          <w:color w:val="auto"/>
          <w:sz w:val="32"/>
          <w:szCs w:val="32"/>
        </w:rPr>
        <w:t xml:space="preserve">条  </w:t>
      </w:r>
      <w:r>
        <w:rPr>
          <w:rFonts w:hint="eastAsia" w:ascii="仿宋" w:hAnsi="仿宋" w:eastAsia="仿宋"/>
          <w:color w:val="auto"/>
          <w:sz w:val="32"/>
          <w:szCs w:val="32"/>
        </w:rPr>
        <w:t>为加强基本医疗保险基金管理，维护参保人员正当权益，对医疗费用单据丢失致医疗费用无法报销的，参保人员可持《内蒙古自治区本级基本医疗保险参保职工丢失医疗费用发票核对</w:t>
      </w:r>
      <w:r>
        <w:rPr>
          <w:rFonts w:hint="eastAsia" w:ascii="仿宋" w:hAnsi="仿宋" w:eastAsia="仿宋"/>
          <w:color w:val="auto"/>
          <w:sz w:val="32"/>
          <w:szCs w:val="32"/>
          <w:lang w:eastAsia="zh-CN"/>
        </w:rPr>
        <w:t>单</w:t>
      </w:r>
      <w:r>
        <w:rPr>
          <w:rFonts w:hint="eastAsia" w:ascii="仿宋" w:hAnsi="仿宋" w:eastAsia="仿宋"/>
          <w:color w:val="auto"/>
          <w:sz w:val="32"/>
          <w:szCs w:val="32"/>
        </w:rPr>
        <w:t>》（见附件）及时到就诊医疗机构办理票据丢失证明。在医疗费用发生的下年度12月31日前携带《内蒙古自治区本级基本医疗保险参保职工丢失医疗费用发票核对</w:t>
      </w:r>
      <w:r>
        <w:rPr>
          <w:rFonts w:hint="eastAsia" w:ascii="仿宋" w:hAnsi="仿宋" w:eastAsia="仿宋"/>
          <w:color w:val="auto"/>
          <w:sz w:val="32"/>
          <w:szCs w:val="32"/>
          <w:lang w:eastAsia="zh-CN"/>
        </w:rPr>
        <w:t>单</w:t>
      </w:r>
      <w:r>
        <w:rPr>
          <w:rFonts w:hint="eastAsia" w:ascii="仿宋" w:hAnsi="仿宋" w:eastAsia="仿宋"/>
          <w:color w:val="auto"/>
          <w:sz w:val="32"/>
          <w:szCs w:val="32"/>
        </w:rPr>
        <w:t>》、诊断证明书、费用明细、病历到</w:t>
      </w:r>
      <w:r>
        <w:rPr>
          <w:rFonts w:hint="eastAsia" w:ascii="仿宋" w:hAnsi="仿宋" w:eastAsia="仿宋"/>
          <w:color w:val="auto"/>
          <w:sz w:val="32"/>
          <w:szCs w:val="32"/>
          <w:lang w:eastAsia="zh-CN"/>
        </w:rPr>
        <w:t>医疗保险</w:t>
      </w:r>
      <w:r>
        <w:rPr>
          <w:rFonts w:hint="eastAsia" w:ascii="仿宋" w:hAnsi="仿宋" w:eastAsia="仿宋"/>
          <w:color w:val="auto"/>
          <w:sz w:val="32"/>
          <w:szCs w:val="32"/>
        </w:rPr>
        <w:t>经办窗口进行手工零星报销。</w:t>
      </w:r>
    </w:p>
    <w:p>
      <w:pPr>
        <w:keepNext w:val="0"/>
        <w:keepLines w:val="0"/>
        <w:pageBreakBefore w:val="0"/>
        <w:kinsoku/>
        <w:wordWrap/>
        <w:overflowPunct/>
        <w:topLinePunct w:val="0"/>
        <w:autoSpaceDE/>
        <w:autoSpaceDN/>
        <w:bidi w:val="0"/>
        <w:snapToGrid/>
        <w:spacing w:line="580" w:lineRule="exact"/>
        <w:ind w:firstLine="640" w:firstLineChars="200"/>
        <w:textAlignment w:val="auto"/>
        <w:rPr>
          <w:rFonts w:ascii="仿宋" w:hAnsi="仿宋" w:eastAsia="仿宋"/>
          <w:color w:val="auto"/>
          <w:sz w:val="32"/>
          <w:szCs w:val="32"/>
        </w:rPr>
      </w:pPr>
      <w:r>
        <w:rPr>
          <w:rFonts w:hint="eastAsia" w:ascii="仿宋" w:hAnsi="仿宋" w:eastAsia="仿宋"/>
          <w:color w:val="auto"/>
          <w:sz w:val="32"/>
          <w:szCs w:val="32"/>
          <w:lang w:eastAsia="zh-CN"/>
        </w:rPr>
        <w:t>自治区医疗保险经办机构</w:t>
      </w:r>
      <w:r>
        <w:rPr>
          <w:rFonts w:hint="eastAsia" w:ascii="仿宋" w:hAnsi="仿宋" w:eastAsia="仿宋"/>
          <w:color w:val="auto"/>
          <w:sz w:val="32"/>
          <w:szCs w:val="32"/>
        </w:rPr>
        <w:t>对于丢失医疗费用发票参保人员申报的医疗费用建立台账，认真做好核查，并按规定进行费用审核和结算工作。</w:t>
      </w:r>
    </w:p>
    <w:p>
      <w:pPr>
        <w:keepNext w:val="0"/>
        <w:keepLines w:val="0"/>
        <w:pageBreakBefore w:val="0"/>
        <w:kinsoku/>
        <w:wordWrap/>
        <w:overflowPunct/>
        <w:topLinePunct w:val="0"/>
        <w:autoSpaceDE/>
        <w:autoSpaceDN/>
        <w:bidi w:val="0"/>
        <w:snapToGrid/>
        <w:spacing w:line="580" w:lineRule="exact"/>
        <w:ind w:firstLine="640" w:firstLineChars="200"/>
        <w:textAlignment w:val="auto"/>
        <w:rPr>
          <w:rFonts w:ascii="仿宋" w:hAnsi="仿宋" w:eastAsia="仿宋" w:cs="仿宋"/>
          <w:color w:val="auto"/>
          <w:sz w:val="32"/>
          <w:szCs w:val="32"/>
        </w:rPr>
      </w:pPr>
      <w:r>
        <w:rPr>
          <w:rFonts w:hint="eastAsia" w:ascii="黑体" w:hAnsi="黑体" w:eastAsia="黑体" w:cs="黑体"/>
          <w:color w:val="auto"/>
          <w:sz w:val="32"/>
          <w:szCs w:val="32"/>
        </w:rPr>
        <w:t>第五十</w:t>
      </w:r>
      <w:r>
        <w:rPr>
          <w:rFonts w:hint="eastAsia" w:ascii="黑体" w:hAnsi="黑体" w:eastAsia="黑体" w:cs="黑体"/>
          <w:color w:val="auto"/>
          <w:sz w:val="32"/>
          <w:szCs w:val="32"/>
          <w:lang w:eastAsia="zh-CN"/>
        </w:rPr>
        <w:t>二</w:t>
      </w:r>
      <w:r>
        <w:rPr>
          <w:rFonts w:hint="eastAsia" w:ascii="黑体" w:hAnsi="黑体" w:eastAsia="黑体" w:cs="黑体"/>
          <w:color w:val="auto"/>
          <w:sz w:val="32"/>
          <w:szCs w:val="32"/>
        </w:rPr>
        <w:t xml:space="preserve">条  </w:t>
      </w:r>
      <w:r>
        <w:rPr>
          <w:rFonts w:hint="eastAsia" w:ascii="仿宋" w:hAnsi="仿宋" w:eastAsia="仿宋" w:cs="仿宋"/>
          <w:color w:val="auto"/>
          <w:sz w:val="32"/>
          <w:szCs w:val="32"/>
          <w:lang w:eastAsia="zh-CN"/>
        </w:rPr>
        <w:t>自治区医疗保险经办机构</w:t>
      </w:r>
      <w:r>
        <w:rPr>
          <w:rFonts w:hint="eastAsia" w:ascii="仿宋" w:hAnsi="仿宋" w:eastAsia="仿宋" w:cs="仿宋"/>
          <w:color w:val="auto"/>
          <w:sz w:val="32"/>
          <w:szCs w:val="32"/>
        </w:rPr>
        <w:t>对统筹基金和个人账户基金要分别管理，严格按照各自的支付范围结算，不得相互挤占。</w:t>
      </w:r>
    </w:p>
    <w:p>
      <w:pPr>
        <w:keepNext w:val="0"/>
        <w:keepLines w:val="0"/>
        <w:pageBreakBefore w:val="0"/>
        <w:kinsoku/>
        <w:wordWrap/>
        <w:overflowPunct/>
        <w:topLinePunct w:val="0"/>
        <w:autoSpaceDE/>
        <w:autoSpaceDN/>
        <w:bidi w:val="0"/>
        <w:snapToGrid/>
        <w:spacing w:line="580" w:lineRule="exact"/>
        <w:ind w:firstLine="640" w:firstLineChars="200"/>
        <w:textAlignment w:val="auto"/>
        <w:rPr>
          <w:rFonts w:hint="eastAsia" w:ascii="仿宋" w:hAnsi="仿宋" w:eastAsia="仿宋" w:cs="仿宋"/>
          <w:color w:val="auto"/>
          <w:sz w:val="32"/>
          <w:szCs w:val="32"/>
        </w:rPr>
      </w:pPr>
      <w:r>
        <w:rPr>
          <w:rFonts w:hint="eastAsia" w:ascii="黑体" w:hAnsi="黑体" w:eastAsia="黑体" w:cs="黑体"/>
          <w:color w:val="auto"/>
          <w:sz w:val="32"/>
          <w:szCs w:val="32"/>
        </w:rPr>
        <w:t>第五十</w:t>
      </w:r>
      <w:r>
        <w:rPr>
          <w:rFonts w:hint="eastAsia" w:ascii="黑体" w:hAnsi="黑体" w:eastAsia="黑体" w:cs="黑体"/>
          <w:color w:val="auto"/>
          <w:sz w:val="32"/>
          <w:szCs w:val="32"/>
          <w:lang w:eastAsia="zh-CN"/>
        </w:rPr>
        <w:t>三</w:t>
      </w:r>
      <w:r>
        <w:rPr>
          <w:rFonts w:hint="eastAsia" w:ascii="黑体" w:hAnsi="黑体" w:eastAsia="黑体" w:cs="黑体"/>
          <w:color w:val="auto"/>
          <w:sz w:val="32"/>
          <w:szCs w:val="32"/>
        </w:rPr>
        <w:t xml:space="preserve">条  </w:t>
      </w:r>
      <w:r>
        <w:rPr>
          <w:rFonts w:hint="eastAsia" w:ascii="仿宋" w:hAnsi="仿宋" w:eastAsia="仿宋" w:cs="仿宋"/>
          <w:color w:val="auto"/>
          <w:sz w:val="32"/>
          <w:szCs w:val="32"/>
          <w:lang w:eastAsia="zh-CN"/>
        </w:rPr>
        <w:t>自治区医疗保险经办机构</w:t>
      </w:r>
      <w:r>
        <w:rPr>
          <w:rFonts w:hint="eastAsia" w:ascii="仿宋" w:hAnsi="仿宋" w:eastAsia="仿宋" w:cs="仿宋"/>
          <w:color w:val="auto"/>
          <w:sz w:val="32"/>
          <w:szCs w:val="32"/>
        </w:rPr>
        <w:t>每年对定点医药机构履行基本医疗保险服务协议情况进行考核。考核合格的定点医疗机构，按比例给付普通住院统筹基金剩余部分</w:t>
      </w:r>
      <w:r>
        <w:rPr>
          <w:rFonts w:hint="default" w:ascii="仿宋" w:hAnsi="仿宋" w:eastAsia="仿宋" w:cs="仿宋"/>
          <w:color w:val="auto"/>
          <w:sz w:val="32"/>
          <w:szCs w:val="32"/>
          <w:lang w:val="en"/>
        </w:rPr>
        <w:t>；</w:t>
      </w:r>
      <w:r>
        <w:rPr>
          <w:rFonts w:hint="eastAsia" w:ascii="仿宋" w:hAnsi="仿宋" w:eastAsia="仿宋" w:cs="仿宋"/>
          <w:color w:val="auto"/>
          <w:sz w:val="32"/>
          <w:szCs w:val="32"/>
        </w:rPr>
        <w:t>不合格的，按协议予以扣除。</w:t>
      </w:r>
    </w:p>
    <w:p>
      <w:pPr>
        <w:keepNext w:val="0"/>
        <w:keepLines w:val="0"/>
        <w:pageBreakBefore w:val="0"/>
        <w:widowControl w:val="0"/>
        <w:kinsoku/>
        <w:wordWrap/>
        <w:overflowPunct/>
        <w:topLinePunct w:val="0"/>
        <w:autoSpaceDE/>
        <w:autoSpaceDN/>
        <w:bidi w:val="0"/>
        <w:adjustRightInd/>
        <w:snapToGrid/>
        <w:spacing w:before="313" w:beforeLines="100" w:after="313" w:afterLines="100" w:line="580" w:lineRule="exact"/>
        <w:jc w:val="center"/>
        <w:textAlignment w:val="auto"/>
        <w:rPr>
          <w:rFonts w:ascii="黑体" w:hAnsi="黑体" w:eastAsia="黑体"/>
          <w:color w:val="auto"/>
          <w:sz w:val="32"/>
          <w:szCs w:val="32"/>
        </w:rPr>
      </w:pPr>
      <w:r>
        <w:rPr>
          <w:rFonts w:hint="eastAsia" w:ascii="黑体" w:hAnsi="黑体" w:eastAsia="黑体"/>
          <w:color w:val="auto"/>
          <w:sz w:val="32"/>
          <w:szCs w:val="32"/>
        </w:rPr>
        <w:t>第五章   职工基本医疗保险个人账户</w:t>
      </w:r>
    </w:p>
    <w:p>
      <w:pPr>
        <w:keepNext w:val="0"/>
        <w:keepLines w:val="0"/>
        <w:pageBreakBefore w:val="0"/>
        <w:kinsoku/>
        <w:wordWrap/>
        <w:overflowPunct/>
        <w:topLinePunct w:val="0"/>
        <w:autoSpaceDE/>
        <w:autoSpaceDN/>
        <w:bidi w:val="0"/>
        <w:snapToGrid/>
        <w:spacing w:line="580" w:lineRule="exact"/>
        <w:ind w:firstLine="640" w:firstLineChars="200"/>
        <w:textAlignment w:val="auto"/>
        <w:rPr>
          <w:rFonts w:ascii="仿宋" w:hAnsi="仿宋" w:eastAsia="仿宋"/>
          <w:color w:val="auto"/>
          <w:sz w:val="32"/>
          <w:szCs w:val="32"/>
        </w:rPr>
      </w:pPr>
      <w:r>
        <w:rPr>
          <w:rFonts w:hint="eastAsia" w:ascii="黑体" w:hAnsi="黑体" w:eastAsia="黑体"/>
          <w:color w:val="auto"/>
          <w:sz w:val="32"/>
          <w:szCs w:val="32"/>
        </w:rPr>
        <w:t>第</w:t>
      </w:r>
      <w:r>
        <w:rPr>
          <w:rFonts w:hint="eastAsia" w:ascii="黑体" w:hAnsi="黑体" w:eastAsia="黑体" w:cs="黑体"/>
          <w:color w:val="auto"/>
          <w:sz w:val="32"/>
          <w:szCs w:val="32"/>
        </w:rPr>
        <w:t>五十</w:t>
      </w:r>
      <w:r>
        <w:rPr>
          <w:rFonts w:hint="eastAsia" w:ascii="黑体" w:hAnsi="黑体" w:eastAsia="黑体" w:cs="黑体"/>
          <w:color w:val="auto"/>
          <w:sz w:val="32"/>
          <w:szCs w:val="32"/>
          <w:lang w:eastAsia="zh-CN"/>
        </w:rPr>
        <w:t>四</w:t>
      </w:r>
      <w:r>
        <w:rPr>
          <w:rFonts w:hint="eastAsia" w:ascii="黑体" w:hAnsi="黑体" w:eastAsia="黑体"/>
          <w:color w:val="auto"/>
          <w:sz w:val="32"/>
          <w:szCs w:val="32"/>
        </w:rPr>
        <w:t>条</w:t>
      </w:r>
      <w:r>
        <w:rPr>
          <w:rFonts w:hint="eastAsia" w:ascii="仿宋" w:hAnsi="仿宋" w:eastAsia="仿宋"/>
          <w:color w:val="auto"/>
          <w:sz w:val="32"/>
          <w:szCs w:val="32"/>
        </w:rPr>
        <w:t xml:space="preserve">  </w:t>
      </w:r>
      <w:r>
        <w:rPr>
          <w:rFonts w:hint="eastAsia" w:ascii="仿宋" w:hAnsi="仿宋" w:eastAsia="仿宋"/>
          <w:color w:val="auto"/>
          <w:sz w:val="32"/>
          <w:szCs w:val="32"/>
          <w:lang w:eastAsia="zh-CN"/>
        </w:rPr>
        <w:t>自治区医疗保险经办机构</w:t>
      </w:r>
      <w:r>
        <w:rPr>
          <w:rFonts w:hint="eastAsia" w:ascii="仿宋" w:hAnsi="仿宋" w:eastAsia="仿宋"/>
          <w:color w:val="auto"/>
          <w:sz w:val="32"/>
          <w:szCs w:val="32"/>
        </w:rPr>
        <w:t>通过国家医疗保障信息平台，以居民身份证号码、单位代码作为本级参保人员基本医</w:t>
      </w:r>
      <w:r>
        <w:rPr>
          <w:rFonts w:hint="eastAsia" w:ascii="仿宋" w:hAnsi="仿宋" w:eastAsia="仿宋"/>
          <w:color w:val="auto"/>
          <w:spacing w:val="-6"/>
          <w:sz w:val="32"/>
          <w:szCs w:val="32"/>
        </w:rPr>
        <w:t>疗保险个人账户唯一标识，并负责对其使用情况进行监督管理。</w:t>
      </w:r>
    </w:p>
    <w:p>
      <w:pPr>
        <w:keepNext w:val="0"/>
        <w:keepLines w:val="0"/>
        <w:pageBreakBefore w:val="0"/>
        <w:kinsoku/>
        <w:wordWrap/>
        <w:overflowPunct/>
        <w:topLinePunct w:val="0"/>
        <w:autoSpaceDE/>
        <w:autoSpaceDN/>
        <w:bidi w:val="0"/>
        <w:snapToGrid/>
        <w:spacing w:line="580" w:lineRule="exact"/>
        <w:ind w:firstLine="640" w:firstLineChars="200"/>
        <w:textAlignment w:val="auto"/>
        <w:rPr>
          <w:rFonts w:ascii="仿宋" w:hAnsi="仿宋" w:eastAsia="仿宋"/>
          <w:color w:val="auto"/>
          <w:sz w:val="32"/>
          <w:szCs w:val="32"/>
        </w:rPr>
      </w:pPr>
      <w:r>
        <w:rPr>
          <w:rFonts w:hint="eastAsia" w:ascii="黑体" w:hAnsi="黑体" w:eastAsia="黑体"/>
          <w:color w:val="auto"/>
          <w:sz w:val="32"/>
          <w:szCs w:val="32"/>
        </w:rPr>
        <w:t>第</w:t>
      </w:r>
      <w:r>
        <w:rPr>
          <w:rFonts w:hint="eastAsia" w:ascii="黑体" w:hAnsi="黑体" w:eastAsia="黑体"/>
          <w:color w:val="auto"/>
          <w:sz w:val="32"/>
          <w:szCs w:val="32"/>
          <w:lang w:val="en-US" w:eastAsia="zh-CN"/>
        </w:rPr>
        <w:t>五十五</w:t>
      </w:r>
      <w:r>
        <w:rPr>
          <w:rFonts w:hint="eastAsia" w:ascii="黑体" w:hAnsi="黑体" w:eastAsia="黑体"/>
          <w:color w:val="auto"/>
          <w:sz w:val="32"/>
          <w:szCs w:val="32"/>
        </w:rPr>
        <w:t>条</w:t>
      </w:r>
      <w:r>
        <w:rPr>
          <w:rFonts w:hint="eastAsia" w:ascii="仿宋" w:hAnsi="仿宋" w:eastAsia="仿宋"/>
          <w:color w:val="auto"/>
          <w:sz w:val="32"/>
          <w:szCs w:val="32"/>
        </w:rPr>
        <w:t xml:space="preserve">  基本医疗保险个人账户采用医保电子凭证、社会保障卡</w:t>
      </w:r>
      <w:r>
        <w:rPr>
          <w:rFonts w:hint="eastAsia" w:ascii="仿宋" w:hAnsi="仿宋" w:eastAsia="仿宋"/>
          <w:color w:val="auto"/>
          <w:sz w:val="32"/>
          <w:szCs w:val="32"/>
          <w:lang w:eastAsia="zh-CN"/>
        </w:rPr>
        <w:t>等</w:t>
      </w:r>
      <w:r>
        <w:rPr>
          <w:rFonts w:hint="eastAsia" w:ascii="仿宋" w:hAnsi="仿宋" w:eastAsia="仿宋"/>
          <w:color w:val="auto"/>
          <w:sz w:val="32"/>
          <w:szCs w:val="32"/>
        </w:rPr>
        <w:t>管理。</w:t>
      </w:r>
    </w:p>
    <w:p>
      <w:pPr>
        <w:keepNext w:val="0"/>
        <w:keepLines w:val="0"/>
        <w:pageBreakBefore w:val="0"/>
        <w:kinsoku/>
        <w:wordWrap/>
        <w:overflowPunct/>
        <w:topLinePunct w:val="0"/>
        <w:autoSpaceDE/>
        <w:autoSpaceDN/>
        <w:bidi w:val="0"/>
        <w:snapToGrid/>
        <w:spacing w:line="580" w:lineRule="exact"/>
        <w:ind w:firstLine="640" w:firstLineChars="200"/>
        <w:textAlignment w:val="auto"/>
        <w:rPr>
          <w:rFonts w:ascii="仿宋" w:hAnsi="仿宋" w:eastAsia="仿宋"/>
          <w:color w:val="auto"/>
          <w:sz w:val="32"/>
          <w:szCs w:val="32"/>
        </w:rPr>
      </w:pPr>
      <w:r>
        <w:rPr>
          <w:rFonts w:hint="eastAsia" w:ascii="黑体" w:hAnsi="黑体" w:eastAsia="黑体"/>
          <w:color w:val="auto"/>
          <w:sz w:val="32"/>
          <w:szCs w:val="32"/>
        </w:rPr>
        <w:t>第</w:t>
      </w:r>
      <w:r>
        <w:rPr>
          <w:rFonts w:hint="eastAsia" w:ascii="黑体" w:hAnsi="黑体" w:eastAsia="黑体"/>
          <w:color w:val="auto"/>
          <w:sz w:val="32"/>
          <w:szCs w:val="32"/>
          <w:lang w:val="en-US" w:eastAsia="zh-CN"/>
        </w:rPr>
        <w:t>五十六</w:t>
      </w:r>
      <w:r>
        <w:rPr>
          <w:rFonts w:hint="eastAsia" w:ascii="黑体" w:hAnsi="黑体" w:eastAsia="黑体"/>
          <w:color w:val="auto"/>
          <w:sz w:val="32"/>
          <w:szCs w:val="32"/>
        </w:rPr>
        <w:t>条</w:t>
      </w:r>
      <w:r>
        <w:rPr>
          <w:rFonts w:hint="eastAsia" w:ascii="仿宋" w:hAnsi="仿宋" w:eastAsia="仿宋"/>
          <w:color w:val="auto"/>
          <w:sz w:val="32"/>
          <w:szCs w:val="32"/>
        </w:rPr>
        <w:t xml:space="preserve">  参保人员如遇转岗分流、退休等特殊情况，依据第</w:t>
      </w:r>
      <w:r>
        <w:rPr>
          <w:rFonts w:hint="eastAsia" w:ascii="仿宋" w:hAnsi="仿宋" w:eastAsia="仿宋"/>
          <w:color w:val="000000"/>
          <w:sz w:val="32"/>
          <w:szCs w:val="32"/>
          <w:u w:val="none"/>
        </w:rPr>
        <w:t>十</w:t>
      </w:r>
      <w:r>
        <w:rPr>
          <w:rFonts w:hint="eastAsia" w:ascii="仿宋" w:hAnsi="仿宋" w:eastAsia="仿宋"/>
          <w:color w:val="000000"/>
          <w:sz w:val="32"/>
          <w:szCs w:val="32"/>
          <w:u w:val="none"/>
          <w:lang w:eastAsia="zh-CN"/>
        </w:rPr>
        <w:t>二</w:t>
      </w:r>
      <w:r>
        <w:rPr>
          <w:rFonts w:hint="eastAsia" w:ascii="仿宋" w:hAnsi="仿宋" w:eastAsia="仿宋"/>
          <w:color w:val="000000"/>
          <w:sz w:val="32"/>
          <w:szCs w:val="32"/>
          <w:u w:val="none"/>
        </w:rPr>
        <w:t>条中</w:t>
      </w:r>
      <w:r>
        <w:rPr>
          <w:rFonts w:hint="eastAsia" w:ascii="仿宋" w:hAnsi="仿宋" w:eastAsia="仿宋"/>
          <w:color w:val="auto"/>
          <w:sz w:val="32"/>
          <w:szCs w:val="32"/>
        </w:rPr>
        <w:t>有关规定</w:t>
      </w:r>
      <w:r>
        <w:rPr>
          <w:rFonts w:hint="eastAsia" w:ascii="仿宋" w:hAnsi="仿宋" w:eastAsia="仿宋"/>
          <w:color w:val="auto"/>
          <w:sz w:val="32"/>
          <w:szCs w:val="32"/>
          <w:lang w:eastAsia="zh-CN"/>
        </w:rPr>
        <w:t>划拨个人账户</w:t>
      </w:r>
      <w:r>
        <w:rPr>
          <w:rFonts w:hint="eastAsia" w:ascii="仿宋" w:hAnsi="仿宋" w:eastAsia="仿宋"/>
          <w:color w:val="auto"/>
          <w:sz w:val="32"/>
          <w:szCs w:val="32"/>
        </w:rPr>
        <w:t>。</w:t>
      </w:r>
    </w:p>
    <w:p>
      <w:pPr>
        <w:keepNext w:val="0"/>
        <w:keepLines w:val="0"/>
        <w:pageBreakBefore w:val="0"/>
        <w:kinsoku/>
        <w:wordWrap/>
        <w:overflowPunct/>
        <w:topLinePunct w:val="0"/>
        <w:autoSpaceDE/>
        <w:autoSpaceDN/>
        <w:bidi w:val="0"/>
        <w:snapToGrid/>
        <w:spacing w:line="580" w:lineRule="exact"/>
        <w:ind w:firstLine="640" w:firstLineChars="200"/>
        <w:textAlignment w:val="auto"/>
        <w:rPr>
          <w:rFonts w:ascii="仿宋" w:hAnsi="仿宋" w:eastAsia="仿宋"/>
          <w:color w:val="auto"/>
          <w:sz w:val="32"/>
          <w:szCs w:val="32"/>
        </w:rPr>
      </w:pPr>
      <w:r>
        <w:rPr>
          <w:rFonts w:hint="eastAsia" w:ascii="黑体" w:hAnsi="黑体" w:eastAsia="黑体"/>
          <w:color w:val="auto"/>
          <w:sz w:val="32"/>
          <w:szCs w:val="32"/>
        </w:rPr>
        <w:t>第</w:t>
      </w:r>
      <w:r>
        <w:rPr>
          <w:rFonts w:hint="eastAsia" w:ascii="黑体" w:hAnsi="黑体" w:eastAsia="黑体"/>
          <w:color w:val="auto"/>
          <w:sz w:val="32"/>
          <w:szCs w:val="32"/>
          <w:lang w:eastAsia="zh-CN"/>
        </w:rPr>
        <w:t>五十七</w:t>
      </w:r>
      <w:r>
        <w:rPr>
          <w:rFonts w:hint="eastAsia" w:ascii="黑体" w:hAnsi="黑体" w:eastAsia="黑体"/>
          <w:color w:val="auto"/>
          <w:sz w:val="32"/>
          <w:szCs w:val="32"/>
        </w:rPr>
        <w:t>条</w:t>
      </w:r>
      <w:r>
        <w:rPr>
          <w:rFonts w:hint="eastAsia" w:ascii="仿宋" w:hAnsi="仿宋" w:eastAsia="仿宋"/>
          <w:color w:val="auto"/>
          <w:sz w:val="32"/>
          <w:szCs w:val="32"/>
        </w:rPr>
        <w:t xml:space="preserve">  参保人员死亡的，停止划入个人账户资金，其个人账户予以注销，个人账户结余资金由所在单位到</w:t>
      </w:r>
      <w:r>
        <w:rPr>
          <w:rFonts w:hint="eastAsia" w:ascii="仿宋" w:hAnsi="仿宋" w:eastAsia="仿宋"/>
          <w:color w:val="auto"/>
          <w:sz w:val="32"/>
          <w:szCs w:val="32"/>
          <w:lang w:eastAsia="zh-CN"/>
        </w:rPr>
        <w:t>自治区医疗保险经办机构</w:t>
      </w:r>
      <w:r>
        <w:rPr>
          <w:rFonts w:hint="eastAsia" w:ascii="仿宋" w:hAnsi="仿宋" w:eastAsia="仿宋"/>
          <w:color w:val="auto"/>
          <w:sz w:val="32"/>
          <w:szCs w:val="32"/>
        </w:rPr>
        <w:t>办理一次性支取手续。</w:t>
      </w:r>
    </w:p>
    <w:p>
      <w:pPr>
        <w:keepNext w:val="0"/>
        <w:keepLines w:val="0"/>
        <w:pageBreakBefore w:val="0"/>
        <w:kinsoku/>
        <w:wordWrap/>
        <w:overflowPunct/>
        <w:topLinePunct w:val="0"/>
        <w:autoSpaceDE/>
        <w:autoSpaceDN/>
        <w:bidi w:val="0"/>
        <w:snapToGrid/>
        <w:spacing w:line="580" w:lineRule="exact"/>
        <w:ind w:firstLine="640" w:firstLineChars="200"/>
        <w:textAlignment w:val="auto"/>
        <w:rPr>
          <w:rFonts w:ascii="仿宋" w:hAnsi="仿宋" w:eastAsia="仿宋"/>
          <w:color w:val="auto"/>
          <w:sz w:val="32"/>
          <w:szCs w:val="32"/>
        </w:rPr>
      </w:pPr>
      <w:r>
        <w:rPr>
          <w:rFonts w:hint="eastAsia" w:ascii="黑体" w:hAnsi="黑体" w:eastAsia="黑体"/>
          <w:color w:val="auto"/>
          <w:sz w:val="32"/>
          <w:szCs w:val="32"/>
        </w:rPr>
        <w:t>第</w:t>
      </w:r>
      <w:r>
        <w:rPr>
          <w:rFonts w:hint="eastAsia" w:ascii="黑体" w:hAnsi="黑体" w:eastAsia="黑体"/>
          <w:color w:val="auto"/>
          <w:sz w:val="32"/>
          <w:szCs w:val="32"/>
          <w:lang w:eastAsia="zh-CN"/>
        </w:rPr>
        <w:t>五十八</w:t>
      </w:r>
      <w:r>
        <w:rPr>
          <w:rFonts w:hint="eastAsia" w:ascii="黑体" w:hAnsi="黑体" w:eastAsia="黑体"/>
          <w:color w:val="auto"/>
          <w:sz w:val="32"/>
          <w:szCs w:val="32"/>
        </w:rPr>
        <w:t>条</w:t>
      </w:r>
      <w:r>
        <w:rPr>
          <w:rFonts w:hint="eastAsia" w:ascii="仿宋" w:hAnsi="仿宋" w:eastAsia="仿宋"/>
          <w:color w:val="auto"/>
          <w:sz w:val="32"/>
          <w:szCs w:val="32"/>
        </w:rPr>
        <w:t xml:space="preserve">  参保人员个人账户本金和利息归个人所有，定向用于医药消费，超支不补，结余滚存。</w:t>
      </w:r>
    </w:p>
    <w:p>
      <w:pPr>
        <w:keepNext w:val="0"/>
        <w:keepLines w:val="0"/>
        <w:pageBreakBefore w:val="0"/>
        <w:kinsoku/>
        <w:wordWrap/>
        <w:overflowPunct/>
        <w:topLinePunct w:val="0"/>
        <w:autoSpaceDE/>
        <w:autoSpaceDN/>
        <w:bidi w:val="0"/>
        <w:snapToGrid/>
        <w:spacing w:line="580" w:lineRule="exact"/>
        <w:ind w:firstLine="640" w:firstLineChars="200"/>
        <w:textAlignment w:val="auto"/>
        <w:rPr>
          <w:rFonts w:ascii="仿宋" w:hAnsi="仿宋" w:eastAsia="仿宋"/>
          <w:color w:val="auto"/>
          <w:sz w:val="32"/>
          <w:szCs w:val="32"/>
        </w:rPr>
      </w:pPr>
      <w:r>
        <w:rPr>
          <w:rFonts w:hint="eastAsia" w:ascii="黑体" w:hAnsi="黑体" w:eastAsia="黑体"/>
          <w:color w:val="auto"/>
          <w:sz w:val="32"/>
          <w:szCs w:val="32"/>
        </w:rPr>
        <w:t>第</w:t>
      </w:r>
      <w:r>
        <w:rPr>
          <w:rFonts w:hint="eastAsia" w:ascii="黑体" w:hAnsi="黑体" w:eastAsia="黑体"/>
          <w:color w:val="auto"/>
          <w:sz w:val="32"/>
          <w:szCs w:val="32"/>
          <w:lang w:eastAsia="zh-CN"/>
        </w:rPr>
        <w:t>五十九</w:t>
      </w:r>
      <w:r>
        <w:rPr>
          <w:rFonts w:hint="eastAsia" w:ascii="黑体" w:hAnsi="黑体" w:eastAsia="黑体"/>
          <w:color w:val="auto"/>
          <w:sz w:val="32"/>
          <w:szCs w:val="32"/>
        </w:rPr>
        <w:t>条</w:t>
      </w:r>
      <w:r>
        <w:rPr>
          <w:rFonts w:hint="eastAsia" w:ascii="仿宋" w:hAnsi="仿宋" w:eastAsia="仿宋"/>
          <w:color w:val="auto"/>
          <w:sz w:val="32"/>
          <w:szCs w:val="32"/>
        </w:rPr>
        <w:t xml:space="preserve">  参保人员在任何一家定点医药机构就医购药，使用个人账户资金时均通过医保电子凭证或社会保障卡直接结算。个人账户资金不足支付时，由本人现金支付。</w:t>
      </w:r>
    </w:p>
    <w:p>
      <w:pPr>
        <w:keepNext w:val="0"/>
        <w:keepLines w:val="0"/>
        <w:pageBreakBefore w:val="0"/>
        <w:kinsoku/>
        <w:wordWrap/>
        <w:overflowPunct/>
        <w:topLinePunct w:val="0"/>
        <w:autoSpaceDE/>
        <w:autoSpaceDN/>
        <w:bidi w:val="0"/>
        <w:snapToGrid/>
        <w:spacing w:line="580" w:lineRule="exact"/>
        <w:ind w:firstLine="640" w:firstLineChars="200"/>
        <w:textAlignment w:val="auto"/>
        <w:rPr>
          <w:rFonts w:ascii="仿宋" w:hAnsi="仿宋" w:eastAsia="仿宋"/>
          <w:color w:val="auto"/>
          <w:sz w:val="32"/>
          <w:szCs w:val="32"/>
        </w:rPr>
      </w:pPr>
      <w:r>
        <w:rPr>
          <w:rFonts w:hint="eastAsia" w:ascii="黑体" w:hAnsi="黑体" w:eastAsia="黑体"/>
          <w:color w:val="auto"/>
          <w:sz w:val="32"/>
          <w:szCs w:val="32"/>
        </w:rPr>
        <w:t>第六十条</w:t>
      </w:r>
      <w:r>
        <w:rPr>
          <w:rFonts w:hint="eastAsia" w:ascii="仿宋" w:hAnsi="仿宋" w:eastAsia="仿宋"/>
          <w:color w:val="auto"/>
          <w:sz w:val="32"/>
          <w:szCs w:val="32"/>
        </w:rPr>
        <w:t xml:space="preserve">  参保人员在使用个人账户资金时，必须符合相关政策规定的费用支出。</w:t>
      </w:r>
    </w:p>
    <w:p>
      <w:pPr>
        <w:keepNext w:val="0"/>
        <w:keepLines w:val="0"/>
        <w:pageBreakBefore w:val="0"/>
        <w:kinsoku/>
        <w:wordWrap/>
        <w:overflowPunct/>
        <w:topLinePunct w:val="0"/>
        <w:autoSpaceDE/>
        <w:autoSpaceDN/>
        <w:bidi w:val="0"/>
        <w:snapToGrid/>
        <w:spacing w:line="580" w:lineRule="exact"/>
        <w:ind w:firstLine="640" w:firstLineChars="200"/>
        <w:textAlignment w:val="auto"/>
        <w:rPr>
          <w:rFonts w:ascii="仿宋" w:hAnsi="仿宋" w:eastAsia="仿宋"/>
          <w:color w:val="auto"/>
          <w:sz w:val="32"/>
          <w:szCs w:val="32"/>
        </w:rPr>
      </w:pPr>
      <w:r>
        <w:rPr>
          <w:rFonts w:hint="eastAsia" w:ascii="黑体" w:hAnsi="黑体" w:eastAsia="黑体"/>
          <w:color w:val="auto"/>
          <w:sz w:val="32"/>
          <w:szCs w:val="32"/>
        </w:rPr>
        <w:t>第六十</w:t>
      </w:r>
      <w:r>
        <w:rPr>
          <w:rFonts w:hint="eastAsia" w:ascii="黑体" w:hAnsi="黑体" w:eastAsia="黑体"/>
          <w:color w:val="auto"/>
          <w:sz w:val="32"/>
          <w:szCs w:val="32"/>
          <w:lang w:eastAsia="zh-CN"/>
        </w:rPr>
        <w:t>一</w:t>
      </w:r>
      <w:r>
        <w:rPr>
          <w:rFonts w:hint="eastAsia" w:ascii="黑体" w:hAnsi="黑体" w:eastAsia="黑体"/>
          <w:color w:val="auto"/>
          <w:sz w:val="32"/>
          <w:szCs w:val="32"/>
        </w:rPr>
        <w:t>条</w:t>
      </w:r>
      <w:r>
        <w:rPr>
          <w:rFonts w:hint="eastAsia" w:ascii="仿宋" w:hAnsi="仿宋" w:eastAsia="仿宋"/>
          <w:color w:val="auto"/>
          <w:sz w:val="32"/>
          <w:szCs w:val="32"/>
        </w:rPr>
        <w:t xml:space="preserve">  个人账户资金与统筹基金分开核算，单独管理，</w:t>
      </w:r>
      <w:r>
        <w:rPr>
          <w:rFonts w:hint="eastAsia" w:ascii="仿宋" w:hAnsi="仿宋" w:eastAsia="仿宋"/>
          <w:color w:val="auto"/>
          <w:spacing w:val="-6"/>
          <w:sz w:val="32"/>
          <w:szCs w:val="32"/>
        </w:rPr>
        <w:t>不得挪用或相互挤占，更不得用于平衡基本医疗保险统筹基金。</w:t>
      </w:r>
    </w:p>
    <w:p>
      <w:pPr>
        <w:keepNext w:val="0"/>
        <w:keepLines w:val="0"/>
        <w:pageBreakBefore w:val="0"/>
        <w:kinsoku/>
        <w:wordWrap/>
        <w:overflowPunct/>
        <w:topLinePunct w:val="0"/>
        <w:autoSpaceDE/>
        <w:autoSpaceDN/>
        <w:bidi w:val="0"/>
        <w:snapToGrid/>
        <w:spacing w:line="580" w:lineRule="exact"/>
        <w:ind w:firstLine="640" w:firstLineChars="200"/>
        <w:textAlignment w:val="auto"/>
        <w:rPr>
          <w:rFonts w:ascii="仿宋" w:hAnsi="仿宋" w:eastAsia="仿宋"/>
          <w:color w:val="auto"/>
          <w:sz w:val="32"/>
          <w:szCs w:val="32"/>
        </w:rPr>
      </w:pPr>
      <w:r>
        <w:rPr>
          <w:rFonts w:hint="eastAsia" w:ascii="黑体" w:hAnsi="黑体" w:eastAsia="黑体" w:cs="方正黑体_GBK"/>
          <w:color w:val="auto"/>
          <w:sz w:val="32"/>
          <w:szCs w:val="32"/>
        </w:rPr>
        <w:t>第</w:t>
      </w:r>
      <w:r>
        <w:rPr>
          <w:rFonts w:hint="eastAsia" w:ascii="黑体" w:hAnsi="黑体" w:eastAsia="黑体"/>
          <w:color w:val="auto"/>
          <w:sz w:val="32"/>
          <w:szCs w:val="32"/>
        </w:rPr>
        <w:t>六十</w:t>
      </w:r>
      <w:r>
        <w:rPr>
          <w:rFonts w:hint="eastAsia" w:ascii="黑体" w:hAnsi="黑体" w:eastAsia="黑体"/>
          <w:color w:val="auto"/>
          <w:sz w:val="32"/>
          <w:szCs w:val="32"/>
          <w:lang w:eastAsia="zh-CN"/>
        </w:rPr>
        <w:t>二</w:t>
      </w:r>
      <w:r>
        <w:rPr>
          <w:rFonts w:hint="eastAsia" w:ascii="黑体" w:hAnsi="黑体" w:eastAsia="黑体" w:cs="方正黑体_GBK"/>
          <w:color w:val="auto"/>
          <w:sz w:val="32"/>
          <w:szCs w:val="32"/>
        </w:rPr>
        <w:t xml:space="preserve">条  </w:t>
      </w:r>
      <w:r>
        <w:rPr>
          <w:rFonts w:hint="eastAsia" w:ascii="仿宋" w:hAnsi="仿宋" w:eastAsia="仿宋"/>
          <w:color w:val="auto"/>
          <w:sz w:val="32"/>
          <w:szCs w:val="32"/>
        </w:rPr>
        <w:t>参保人员因工作调动</w:t>
      </w:r>
      <w:r>
        <w:rPr>
          <w:rFonts w:hint="eastAsia" w:ascii="仿宋" w:hAnsi="仿宋" w:eastAsia="仿宋"/>
          <w:color w:val="auto"/>
          <w:sz w:val="32"/>
          <w:szCs w:val="32"/>
          <w:lang w:eastAsia="zh-CN"/>
        </w:rPr>
        <w:t>、</w:t>
      </w:r>
      <w:r>
        <w:rPr>
          <w:rFonts w:hint="eastAsia" w:ascii="仿宋" w:hAnsi="仿宋" w:eastAsia="仿宋"/>
          <w:color w:val="auto"/>
          <w:sz w:val="32"/>
          <w:szCs w:val="32"/>
        </w:rPr>
        <w:t>岗位变化</w:t>
      </w:r>
      <w:r>
        <w:rPr>
          <w:rFonts w:hint="eastAsia" w:ascii="仿宋" w:hAnsi="仿宋" w:eastAsia="仿宋"/>
          <w:color w:val="auto"/>
          <w:sz w:val="32"/>
          <w:szCs w:val="32"/>
          <w:lang w:eastAsia="zh-CN"/>
        </w:rPr>
        <w:t>、</w:t>
      </w:r>
      <w:r>
        <w:rPr>
          <w:rFonts w:hint="eastAsia" w:ascii="仿宋" w:hAnsi="仿宋" w:eastAsia="仿宋"/>
          <w:color w:val="auto"/>
          <w:sz w:val="32"/>
          <w:szCs w:val="32"/>
        </w:rPr>
        <w:t>死亡</w:t>
      </w:r>
      <w:r>
        <w:rPr>
          <w:rFonts w:hint="eastAsia" w:ascii="仿宋" w:hAnsi="仿宋" w:eastAsia="仿宋"/>
          <w:color w:val="auto"/>
          <w:sz w:val="32"/>
          <w:szCs w:val="32"/>
          <w:lang w:eastAsia="zh-CN"/>
        </w:rPr>
        <w:t>、</w:t>
      </w:r>
      <w:r>
        <w:rPr>
          <w:rFonts w:hint="eastAsia" w:ascii="仿宋" w:hAnsi="仿宋" w:eastAsia="仿宋"/>
          <w:color w:val="auto"/>
          <w:sz w:val="32"/>
          <w:szCs w:val="32"/>
        </w:rPr>
        <w:t>社会保障卡丢失</w:t>
      </w:r>
      <w:r>
        <w:rPr>
          <w:rFonts w:hint="eastAsia" w:ascii="仿宋" w:hAnsi="仿宋" w:eastAsia="仿宋"/>
          <w:color w:val="auto"/>
          <w:sz w:val="32"/>
          <w:szCs w:val="32"/>
          <w:lang w:eastAsia="zh-CN"/>
        </w:rPr>
        <w:t>及</w:t>
      </w:r>
      <w:r>
        <w:rPr>
          <w:rFonts w:hint="eastAsia" w:ascii="仿宋" w:hAnsi="仿宋" w:eastAsia="仿宋"/>
          <w:color w:val="auto"/>
          <w:sz w:val="32"/>
          <w:szCs w:val="32"/>
        </w:rPr>
        <w:t>损坏等原因需更换、补发、注销社会保障卡的，持有效证明及时到有关部门办理。</w:t>
      </w:r>
    </w:p>
    <w:p>
      <w:pPr>
        <w:keepNext w:val="0"/>
        <w:keepLines w:val="0"/>
        <w:pageBreakBefore w:val="0"/>
        <w:kinsoku/>
        <w:wordWrap/>
        <w:overflowPunct/>
        <w:topLinePunct w:val="0"/>
        <w:autoSpaceDE/>
        <w:autoSpaceDN/>
        <w:bidi w:val="0"/>
        <w:snapToGrid/>
        <w:spacing w:line="580" w:lineRule="exact"/>
        <w:ind w:firstLine="640" w:firstLineChars="200"/>
        <w:textAlignment w:val="auto"/>
        <w:rPr>
          <w:rFonts w:ascii="仿宋" w:hAnsi="仿宋" w:eastAsia="仿宋"/>
          <w:color w:val="auto"/>
          <w:sz w:val="32"/>
          <w:szCs w:val="32"/>
        </w:rPr>
      </w:pPr>
      <w:r>
        <w:rPr>
          <w:rFonts w:hint="eastAsia" w:ascii="黑体" w:hAnsi="黑体" w:eastAsia="黑体"/>
          <w:color w:val="auto"/>
          <w:sz w:val="32"/>
          <w:szCs w:val="32"/>
        </w:rPr>
        <w:t>第</w:t>
      </w:r>
      <w:r>
        <w:rPr>
          <w:rFonts w:hint="eastAsia" w:ascii="黑体" w:hAnsi="黑体" w:eastAsia="黑体"/>
          <w:color w:val="auto"/>
          <w:sz w:val="32"/>
          <w:szCs w:val="32"/>
          <w:lang w:val="en-US" w:eastAsia="zh-CN"/>
        </w:rPr>
        <w:t>六十三</w:t>
      </w:r>
      <w:r>
        <w:rPr>
          <w:rFonts w:hint="eastAsia" w:ascii="黑体" w:hAnsi="黑体" w:eastAsia="黑体"/>
          <w:color w:val="auto"/>
          <w:sz w:val="32"/>
          <w:szCs w:val="32"/>
        </w:rPr>
        <w:t>条</w:t>
      </w:r>
      <w:r>
        <w:rPr>
          <w:rFonts w:hint="eastAsia" w:ascii="仿宋" w:hAnsi="仿宋" w:eastAsia="仿宋"/>
          <w:color w:val="auto"/>
          <w:sz w:val="32"/>
          <w:szCs w:val="32"/>
        </w:rPr>
        <w:t xml:space="preserve">  如发现参保人员弄</w:t>
      </w:r>
      <w:r>
        <w:rPr>
          <w:rFonts w:hint="eastAsia" w:ascii="仿宋" w:hAnsi="仿宋" w:eastAsia="仿宋"/>
          <w:color w:val="auto"/>
          <w:sz w:val="32"/>
          <w:szCs w:val="32"/>
          <w:lang w:eastAsia="zh-CN"/>
        </w:rPr>
        <w:t>虚</w:t>
      </w:r>
      <w:r>
        <w:rPr>
          <w:rFonts w:hint="eastAsia" w:ascii="仿宋" w:hAnsi="仿宋" w:eastAsia="仿宋"/>
          <w:color w:val="auto"/>
          <w:sz w:val="32"/>
          <w:szCs w:val="32"/>
        </w:rPr>
        <w:t>作假</w:t>
      </w:r>
      <w:r>
        <w:rPr>
          <w:rFonts w:hint="eastAsia" w:ascii="仿宋" w:hAnsi="仿宋" w:eastAsia="仿宋"/>
          <w:color w:val="auto"/>
          <w:sz w:val="32"/>
          <w:szCs w:val="32"/>
          <w:lang w:eastAsia="zh-CN"/>
        </w:rPr>
        <w:t>、</w:t>
      </w:r>
      <w:r>
        <w:rPr>
          <w:rFonts w:hint="eastAsia" w:ascii="仿宋" w:hAnsi="仿宋" w:eastAsia="仿宋"/>
          <w:color w:val="auto"/>
          <w:sz w:val="32"/>
          <w:szCs w:val="32"/>
        </w:rPr>
        <w:t>冒名顶替等</w:t>
      </w:r>
      <w:r>
        <w:rPr>
          <w:rFonts w:hint="eastAsia" w:ascii="仿宋" w:hAnsi="仿宋" w:eastAsia="仿宋"/>
          <w:color w:val="auto"/>
          <w:sz w:val="32"/>
          <w:szCs w:val="32"/>
          <w:highlight w:val="none"/>
        </w:rPr>
        <w:t>违</w:t>
      </w:r>
      <w:r>
        <w:rPr>
          <w:rFonts w:hint="eastAsia" w:ascii="仿宋" w:hAnsi="仿宋" w:eastAsia="仿宋"/>
          <w:color w:val="auto"/>
          <w:sz w:val="32"/>
          <w:szCs w:val="32"/>
          <w:highlight w:val="none"/>
          <w:lang w:eastAsia="zh-CN"/>
        </w:rPr>
        <w:t>法违纪</w:t>
      </w:r>
      <w:r>
        <w:rPr>
          <w:rFonts w:hint="eastAsia" w:ascii="仿宋" w:hAnsi="仿宋" w:eastAsia="仿宋"/>
          <w:color w:val="auto"/>
          <w:sz w:val="32"/>
          <w:szCs w:val="32"/>
        </w:rPr>
        <w:t>行为，按国家或自治区有关法律法规进行处理。</w:t>
      </w:r>
    </w:p>
    <w:p>
      <w:pPr>
        <w:keepNext w:val="0"/>
        <w:keepLines w:val="0"/>
        <w:pageBreakBefore w:val="0"/>
        <w:kinsoku/>
        <w:wordWrap/>
        <w:overflowPunct/>
        <w:topLinePunct w:val="0"/>
        <w:autoSpaceDE/>
        <w:autoSpaceDN/>
        <w:bidi w:val="0"/>
        <w:snapToGrid/>
        <w:spacing w:line="580" w:lineRule="exact"/>
        <w:ind w:firstLine="640" w:firstLineChars="200"/>
        <w:textAlignment w:val="auto"/>
        <w:rPr>
          <w:rFonts w:ascii="仿宋" w:hAnsi="仿宋" w:eastAsia="仿宋"/>
          <w:color w:val="auto"/>
          <w:sz w:val="32"/>
          <w:szCs w:val="32"/>
        </w:rPr>
      </w:pPr>
      <w:r>
        <w:rPr>
          <w:rFonts w:hint="eastAsia" w:ascii="黑体" w:hAnsi="黑体" w:eastAsia="黑体"/>
          <w:color w:val="auto"/>
          <w:sz w:val="32"/>
          <w:szCs w:val="32"/>
        </w:rPr>
        <w:t>第</w:t>
      </w:r>
      <w:r>
        <w:rPr>
          <w:rFonts w:hint="eastAsia" w:ascii="黑体" w:hAnsi="黑体" w:eastAsia="黑体"/>
          <w:color w:val="auto"/>
          <w:sz w:val="32"/>
          <w:szCs w:val="32"/>
          <w:lang w:val="en-US" w:eastAsia="zh-CN"/>
        </w:rPr>
        <w:t>六十四</w:t>
      </w:r>
      <w:r>
        <w:rPr>
          <w:rFonts w:hint="eastAsia" w:ascii="黑体" w:hAnsi="黑体" w:eastAsia="黑体"/>
          <w:color w:val="auto"/>
          <w:sz w:val="32"/>
          <w:szCs w:val="32"/>
        </w:rPr>
        <w:t>条</w:t>
      </w:r>
      <w:r>
        <w:rPr>
          <w:rFonts w:hint="eastAsia" w:ascii="仿宋" w:hAnsi="仿宋" w:eastAsia="仿宋"/>
          <w:color w:val="auto"/>
          <w:sz w:val="32"/>
          <w:szCs w:val="32"/>
        </w:rPr>
        <w:t xml:space="preserve">  个人账户支付的医药费用由定点医药机构与</w:t>
      </w:r>
      <w:r>
        <w:rPr>
          <w:rFonts w:hint="eastAsia" w:ascii="仿宋" w:hAnsi="仿宋" w:eastAsia="仿宋"/>
          <w:color w:val="auto"/>
          <w:sz w:val="32"/>
          <w:szCs w:val="32"/>
          <w:lang w:eastAsia="zh-CN"/>
        </w:rPr>
        <w:t>自治区医疗保险经办机构</w:t>
      </w:r>
      <w:r>
        <w:rPr>
          <w:rFonts w:hint="eastAsia" w:ascii="仿宋" w:hAnsi="仿宋" w:eastAsia="仿宋"/>
          <w:color w:val="auto"/>
          <w:sz w:val="32"/>
          <w:szCs w:val="32"/>
        </w:rPr>
        <w:t>实行联网结算，接入内蒙古自治区医疗保障信息平台业务专网，使用统一结算软件和统一结算办法，并接受稽核与监督。</w:t>
      </w:r>
    </w:p>
    <w:p>
      <w:pPr>
        <w:keepNext w:val="0"/>
        <w:keepLines w:val="0"/>
        <w:pageBreakBefore w:val="0"/>
        <w:kinsoku/>
        <w:wordWrap/>
        <w:overflowPunct/>
        <w:topLinePunct w:val="0"/>
        <w:autoSpaceDE/>
        <w:autoSpaceDN/>
        <w:bidi w:val="0"/>
        <w:snapToGrid/>
        <w:spacing w:line="580" w:lineRule="exact"/>
        <w:ind w:firstLine="640" w:firstLineChars="200"/>
        <w:textAlignment w:val="auto"/>
        <w:rPr>
          <w:rFonts w:ascii="仿宋" w:hAnsi="仿宋" w:eastAsia="仿宋"/>
          <w:color w:val="auto"/>
          <w:sz w:val="32"/>
          <w:szCs w:val="32"/>
        </w:rPr>
      </w:pPr>
      <w:r>
        <w:rPr>
          <w:rFonts w:hint="eastAsia" w:ascii="黑体" w:hAnsi="黑体" w:eastAsia="黑体"/>
          <w:color w:val="auto"/>
          <w:sz w:val="32"/>
          <w:szCs w:val="32"/>
        </w:rPr>
        <w:t>第</w:t>
      </w:r>
      <w:r>
        <w:rPr>
          <w:rFonts w:hint="eastAsia" w:ascii="黑体" w:hAnsi="黑体" w:eastAsia="黑体"/>
          <w:color w:val="auto"/>
          <w:sz w:val="32"/>
          <w:szCs w:val="32"/>
          <w:lang w:val="en-US" w:eastAsia="zh-CN"/>
        </w:rPr>
        <w:t>六十五</w:t>
      </w:r>
      <w:r>
        <w:rPr>
          <w:rFonts w:hint="eastAsia" w:ascii="黑体" w:hAnsi="黑体" w:eastAsia="黑体"/>
          <w:color w:val="auto"/>
          <w:sz w:val="32"/>
          <w:szCs w:val="32"/>
        </w:rPr>
        <w:t>条</w:t>
      </w:r>
      <w:r>
        <w:rPr>
          <w:rFonts w:hint="eastAsia" w:ascii="仿宋" w:hAnsi="仿宋" w:eastAsia="仿宋"/>
          <w:color w:val="auto"/>
          <w:sz w:val="32"/>
          <w:szCs w:val="32"/>
        </w:rPr>
        <w:t xml:space="preserve">  </w:t>
      </w:r>
      <w:r>
        <w:rPr>
          <w:rFonts w:hint="eastAsia" w:ascii="仿宋" w:hAnsi="仿宋" w:eastAsia="仿宋"/>
          <w:color w:val="auto"/>
          <w:sz w:val="32"/>
          <w:szCs w:val="32"/>
          <w:lang w:eastAsia="zh-CN"/>
        </w:rPr>
        <w:t>自治区医疗保险经办机构</w:t>
      </w:r>
      <w:r>
        <w:rPr>
          <w:rFonts w:hint="eastAsia" w:ascii="仿宋" w:hAnsi="仿宋" w:eastAsia="仿宋"/>
          <w:color w:val="auto"/>
          <w:sz w:val="32"/>
          <w:szCs w:val="32"/>
        </w:rPr>
        <w:t>要加强对参保职工个人账户使用的监督和管理工作，发现问题及时纠正，确保网上结算数据正确。对违反医疗保险政策的行为，按照有关法律法规和服务协议相关规定进行处理。</w:t>
      </w:r>
    </w:p>
    <w:p>
      <w:pPr>
        <w:keepNext w:val="0"/>
        <w:keepLines w:val="0"/>
        <w:pageBreakBefore w:val="0"/>
        <w:kinsoku/>
        <w:wordWrap/>
        <w:overflowPunct/>
        <w:topLinePunct w:val="0"/>
        <w:autoSpaceDE/>
        <w:autoSpaceDN/>
        <w:bidi w:val="0"/>
        <w:snapToGrid/>
        <w:spacing w:line="580" w:lineRule="exact"/>
        <w:ind w:firstLine="640" w:firstLineChars="200"/>
        <w:textAlignment w:val="auto"/>
        <w:rPr>
          <w:rFonts w:ascii="仿宋" w:hAnsi="仿宋" w:eastAsia="仿宋"/>
          <w:color w:val="auto"/>
          <w:sz w:val="32"/>
          <w:szCs w:val="32"/>
        </w:rPr>
      </w:pPr>
      <w:r>
        <w:rPr>
          <w:rFonts w:hint="eastAsia" w:ascii="黑体" w:hAnsi="黑体" w:eastAsia="黑体"/>
          <w:color w:val="auto"/>
          <w:sz w:val="32"/>
          <w:szCs w:val="32"/>
        </w:rPr>
        <w:t>第</w:t>
      </w:r>
      <w:r>
        <w:rPr>
          <w:rFonts w:hint="eastAsia" w:ascii="黑体" w:hAnsi="黑体" w:eastAsia="黑体"/>
          <w:color w:val="auto"/>
          <w:sz w:val="32"/>
          <w:szCs w:val="32"/>
          <w:lang w:val="en-US" w:eastAsia="zh-CN"/>
        </w:rPr>
        <w:t>六十六</w:t>
      </w:r>
      <w:r>
        <w:rPr>
          <w:rFonts w:hint="eastAsia" w:ascii="黑体" w:hAnsi="黑体" w:eastAsia="黑体"/>
          <w:color w:val="auto"/>
          <w:sz w:val="32"/>
          <w:szCs w:val="32"/>
        </w:rPr>
        <w:t>条</w:t>
      </w:r>
      <w:r>
        <w:rPr>
          <w:rFonts w:hint="eastAsia" w:ascii="仿宋" w:hAnsi="仿宋" w:eastAsia="仿宋"/>
          <w:color w:val="auto"/>
          <w:sz w:val="32"/>
          <w:szCs w:val="32"/>
        </w:rPr>
        <w:t xml:space="preserve">  加强医疗保险个人账户支出管理，定点医药机构严禁串换项目、虚开发票、套取个人账户基金等违法行为。要加强政策宣传，引导广大参保人员合理规范使用基本医疗保险个人账户基金。</w:t>
      </w:r>
    </w:p>
    <w:p>
      <w:pPr>
        <w:keepNext w:val="0"/>
        <w:keepLines w:val="0"/>
        <w:pageBreakBefore w:val="0"/>
        <w:widowControl w:val="0"/>
        <w:kinsoku/>
        <w:wordWrap/>
        <w:overflowPunct/>
        <w:topLinePunct w:val="0"/>
        <w:autoSpaceDE/>
        <w:autoSpaceDN/>
        <w:bidi w:val="0"/>
        <w:adjustRightInd/>
        <w:snapToGrid/>
        <w:spacing w:before="313" w:beforeLines="100" w:after="313" w:afterLines="100" w:line="580" w:lineRule="exact"/>
        <w:ind w:firstLine="2880" w:firstLineChars="900"/>
        <w:jc w:val="both"/>
        <w:textAlignment w:val="auto"/>
        <w:rPr>
          <w:rFonts w:ascii="黑体" w:hAnsi="黑体" w:eastAsia="黑体"/>
          <w:color w:val="auto"/>
          <w:sz w:val="32"/>
          <w:szCs w:val="32"/>
        </w:rPr>
      </w:pPr>
      <w:r>
        <w:rPr>
          <w:rFonts w:hint="eastAsia" w:ascii="黑体" w:hAnsi="黑体" w:eastAsia="黑体"/>
          <w:color w:val="auto"/>
          <w:sz w:val="32"/>
          <w:szCs w:val="32"/>
        </w:rPr>
        <w:t>第</w:t>
      </w:r>
      <w:r>
        <w:rPr>
          <w:rFonts w:hint="eastAsia" w:ascii="黑体" w:hAnsi="黑体" w:eastAsia="黑体"/>
          <w:color w:val="auto"/>
          <w:sz w:val="32"/>
          <w:szCs w:val="32"/>
          <w:lang w:val="en-US" w:eastAsia="zh-CN"/>
        </w:rPr>
        <w:t>六</w:t>
      </w:r>
      <w:r>
        <w:rPr>
          <w:rFonts w:hint="eastAsia" w:ascii="黑体" w:hAnsi="黑体" w:eastAsia="黑体"/>
          <w:color w:val="auto"/>
          <w:sz w:val="32"/>
          <w:szCs w:val="32"/>
        </w:rPr>
        <w:t xml:space="preserve">章  附  </w:t>
      </w:r>
      <w:r>
        <w:rPr>
          <w:rFonts w:hint="eastAsia" w:ascii="黑体" w:hAnsi="黑体" w:eastAsia="黑体"/>
          <w:color w:val="auto"/>
          <w:sz w:val="32"/>
          <w:szCs w:val="32"/>
          <w:lang w:val="en-US" w:eastAsia="zh-CN"/>
        </w:rPr>
        <w:t xml:space="preserve">  </w:t>
      </w:r>
      <w:r>
        <w:rPr>
          <w:rFonts w:hint="eastAsia" w:ascii="黑体" w:hAnsi="黑体" w:eastAsia="黑体"/>
          <w:color w:val="auto"/>
          <w:sz w:val="32"/>
          <w:szCs w:val="32"/>
        </w:rPr>
        <w:t>则</w:t>
      </w:r>
    </w:p>
    <w:p>
      <w:pPr>
        <w:keepNext w:val="0"/>
        <w:keepLines w:val="0"/>
        <w:pageBreakBefore w:val="0"/>
        <w:kinsoku/>
        <w:wordWrap/>
        <w:overflowPunct/>
        <w:topLinePunct w:val="0"/>
        <w:autoSpaceDE/>
        <w:autoSpaceDN/>
        <w:bidi w:val="0"/>
        <w:snapToGrid/>
        <w:spacing w:line="580" w:lineRule="exact"/>
        <w:ind w:firstLine="640" w:firstLineChars="200"/>
        <w:textAlignment w:val="auto"/>
        <w:rPr>
          <w:rFonts w:ascii="仿宋" w:hAnsi="仿宋" w:eastAsia="仿宋"/>
          <w:color w:val="auto"/>
          <w:sz w:val="32"/>
          <w:szCs w:val="32"/>
        </w:rPr>
      </w:pPr>
      <w:r>
        <w:rPr>
          <w:rFonts w:hint="eastAsia" w:ascii="黑体" w:hAnsi="黑体" w:eastAsia="黑体"/>
          <w:color w:val="auto"/>
          <w:sz w:val="32"/>
          <w:szCs w:val="32"/>
        </w:rPr>
        <w:t>第</w:t>
      </w:r>
      <w:r>
        <w:rPr>
          <w:rFonts w:hint="eastAsia" w:ascii="黑体" w:hAnsi="黑体" w:eastAsia="黑体"/>
          <w:color w:val="auto"/>
          <w:sz w:val="32"/>
          <w:szCs w:val="32"/>
          <w:lang w:eastAsia="zh-CN"/>
        </w:rPr>
        <w:t>六十七</w:t>
      </w:r>
      <w:r>
        <w:rPr>
          <w:rFonts w:hint="eastAsia" w:ascii="黑体" w:hAnsi="黑体" w:eastAsia="黑体"/>
          <w:color w:val="auto"/>
          <w:sz w:val="32"/>
          <w:szCs w:val="32"/>
        </w:rPr>
        <w:t>条</w:t>
      </w:r>
      <w:r>
        <w:rPr>
          <w:rFonts w:hint="eastAsia" w:ascii="仿宋" w:hAnsi="仿宋" w:eastAsia="仿宋"/>
          <w:color w:val="auto"/>
          <w:sz w:val="32"/>
          <w:szCs w:val="32"/>
        </w:rPr>
        <w:t xml:space="preserve">  本办法自</w:t>
      </w:r>
      <w:r>
        <w:rPr>
          <w:rFonts w:ascii="仿宋" w:hAnsi="仿宋" w:eastAsia="仿宋"/>
          <w:color w:val="auto"/>
          <w:sz w:val="32"/>
          <w:szCs w:val="32"/>
        </w:rPr>
        <w:t>202</w:t>
      </w:r>
      <w:r>
        <w:rPr>
          <w:rFonts w:hint="eastAsia" w:ascii="仿宋" w:hAnsi="仿宋" w:eastAsia="仿宋"/>
          <w:color w:val="auto"/>
          <w:sz w:val="32"/>
          <w:szCs w:val="32"/>
        </w:rPr>
        <w:t>3年</w:t>
      </w:r>
      <w:r>
        <w:rPr>
          <w:rFonts w:hint="eastAsia" w:ascii="仿宋" w:hAnsi="仿宋" w:eastAsia="仿宋"/>
          <w:color w:val="auto"/>
          <w:sz w:val="32"/>
          <w:szCs w:val="32"/>
          <w:lang w:val="en-US" w:eastAsia="zh-CN"/>
        </w:rPr>
        <w:t>3</w:t>
      </w:r>
      <w:r>
        <w:rPr>
          <w:rFonts w:hint="eastAsia" w:ascii="仿宋" w:hAnsi="仿宋" w:eastAsia="仿宋"/>
          <w:color w:val="auto"/>
          <w:sz w:val="32"/>
          <w:szCs w:val="32"/>
        </w:rPr>
        <w:t>月</w:t>
      </w:r>
      <w:r>
        <w:rPr>
          <w:rFonts w:hint="eastAsia" w:ascii="仿宋" w:hAnsi="仿宋" w:eastAsia="仿宋"/>
          <w:color w:val="auto"/>
          <w:sz w:val="32"/>
          <w:szCs w:val="32"/>
          <w:lang w:val="en-US" w:eastAsia="zh-CN"/>
        </w:rPr>
        <w:t>1</w:t>
      </w:r>
      <w:r>
        <w:rPr>
          <w:rFonts w:hint="eastAsia" w:ascii="仿宋" w:hAnsi="仿宋" w:eastAsia="仿宋"/>
          <w:color w:val="auto"/>
          <w:sz w:val="32"/>
          <w:szCs w:val="32"/>
        </w:rPr>
        <w:t>日起执行。</w:t>
      </w:r>
    </w:p>
    <w:p>
      <w:pPr>
        <w:keepNext w:val="0"/>
        <w:keepLines w:val="0"/>
        <w:pageBreakBefore w:val="0"/>
        <w:kinsoku/>
        <w:wordWrap/>
        <w:overflowPunct/>
        <w:topLinePunct w:val="0"/>
        <w:autoSpaceDE/>
        <w:autoSpaceDN/>
        <w:bidi w:val="0"/>
        <w:snapToGrid/>
        <w:spacing w:line="580" w:lineRule="exact"/>
        <w:ind w:firstLine="640" w:firstLineChars="200"/>
        <w:textAlignment w:val="auto"/>
        <w:rPr>
          <w:rFonts w:ascii="仿宋" w:hAnsi="仿宋" w:eastAsia="仿宋"/>
          <w:color w:val="auto"/>
          <w:sz w:val="32"/>
          <w:szCs w:val="32"/>
        </w:rPr>
      </w:pPr>
      <w:r>
        <w:rPr>
          <w:rFonts w:hint="eastAsia" w:ascii="仿宋" w:hAnsi="仿宋" w:eastAsia="仿宋"/>
          <w:color w:val="auto"/>
          <w:sz w:val="32"/>
          <w:szCs w:val="32"/>
        </w:rPr>
        <w:t>原《内蒙古自治区人民政府办公厅关于进一步完善自治区本级职工医疗保险制度的通知》（内政办字</w:t>
      </w:r>
      <w:r>
        <w:rPr>
          <w:rFonts w:hint="eastAsia" w:ascii="仿宋" w:hAnsi="仿宋" w:eastAsia="仿宋"/>
          <w:color w:val="auto"/>
          <w:sz w:val="32"/>
          <w:szCs w:val="32"/>
          <w:lang w:eastAsia="zh-CN"/>
        </w:rPr>
        <w:t>〔</w:t>
      </w:r>
      <w:r>
        <w:rPr>
          <w:rFonts w:hint="eastAsia" w:ascii="仿宋" w:hAnsi="仿宋" w:eastAsia="仿宋"/>
          <w:color w:val="auto"/>
          <w:sz w:val="32"/>
          <w:szCs w:val="32"/>
        </w:rPr>
        <w:t>2008</w:t>
      </w:r>
      <w:r>
        <w:rPr>
          <w:rFonts w:hint="eastAsia" w:ascii="仿宋" w:hAnsi="仿宋" w:eastAsia="仿宋"/>
          <w:color w:val="auto"/>
          <w:sz w:val="32"/>
          <w:szCs w:val="32"/>
          <w:lang w:eastAsia="zh-CN"/>
        </w:rPr>
        <w:t>〕</w:t>
      </w:r>
      <w:r>
        <w:rPr>
          <w:rFonts w:hint="eastAsia" w:ascii="仿宋" w:hAnsi="仿宋" w:eastAsia="仿宋"/>
          <w:color w:val="auto"/>
          <w:sz w:val="32"/>
          <w:szCs w:val="32"/>
        </w:rPr>
        <w:t>44号）</w:t>
      </w:r>
      <w:r>
        <w:rPr>
          <w:rFonts w:hint="eastAsia" w:ascii="仿宋" w:hAnsi="仿宋" w:eastAsia="仿宋"/>
          <w:color w:val="auto"/>
          <w:sz w:val="32"/>
          <w:szCs w:val="32"/>
          <w:lang w:eastAsia="zh-CN"/>
        </w:rPr>
        <w:t>、</w:t>
      </w:r>
      <w:r>
        <w:rPr>
          <w:rFonts w:hint="eastAsia" w:ascii="仿宋" w:hAnsi="仿宋" w:eastAsia="仿宋"/>
          <w:color w:val="auto"/>
          <w:sz w:val="32"/>
          <w:szCs w:val="32"/>
        </w:rPr>
        <w:t>《内蒙古自治区人民政府办公厅关于印发&lt;内蒙古自治区本级职工基本医疗保险管理办法&gt;等五个办法的通知》（内政办发〔2014</w:t>
      </w:r>
      <w:r>
        <w:rPr>
          <w:rFonts w:hint="eastAsia" w:ascii="仿宋" w:hAnsi="仿宋" w:eastAsia="仿宋"/>
          <w:color w:val="auto"/>
          <w:sz w:val="32"/>
          <w:szCs w:val="32"/>
          <w:lang w:eastAsia="zh-CN"/>
        </w:rPr>
        <w:t>〕</w:t>
      </w:r>
      <w:r>
        <w:rPr>
          <w:rFonts w:hint="eastAsia" w:ascii="仿宋" w:hAnsi="仿宋" w:eastAsia="仿宋"/>
          <w:color w:val="auto"/>
          <w:sz w:val="32"/>
          <w:szCs w:val="32"/>
        </w:rPr>
        <w:t>111号）同时废止。</w:t>
      </w:r>
    </w:p>
    <w:p>
      <w:pPr>
        <w:keepNext w:val="0"/>
        <w:keepLines w:val="0"/>
        <w:pageBreakBefore w:val="0"/>
        <w:kinsoku/>
        <w:wordWrap/>
        <w:overflowPunct/>
        <w:topLinePunct w:val="0"/>
        <w:autoSpaceDE/>
        <w:autoSpaceDN/>
        <w:bidi w:val="0"/>
        <w:snapToGrid/>
        <w:spacing w:line="580" w:lineRule="exact"/>
        <w:textAlignment w:val="auto"/>
        <w:rPr>
          <w:rFonts w:hint="eastAsia" w:ascii="仿宋" w:hAnsi="仿宋" w:eastAsia="仿宋"/>
          <w:color w:val="auto"/>
          <w:sz w:val="32"/>
          <w:szCs w:val="32"/>
        </w:rPr>
      </w:pPr>
    </w:p>
    <w:p>
      <w:pPr>
        <w:keepNext w:val="0"/>
        <w:keepLines w:val="0"/>
        <w:pageBreakBefore w:val="0"/>
        <w:kinsoku/>
        <w:wordWrap/>
        <w:overflowPunct/>
        <w:topLinePunct w:val="0"/>
        <w:autoSpaceDE/>
        <w:autoSpaceDN/>
        <w:bidi w:val="0"/>
        <w:snapToGrid/>
        <w:spacing w:line="580" w:lineRule="exact"/>
        <w:ind w:left="1598" w:leftChars="304" w:hanging="960" w:hangingChars="300"/>
        <w:textAlignment w:val="auto"/>
        <w:rPr>
          <w:rFonts w:hint="eastAsia" w:ascii="仿宋" w:hAnsi="仿宋" w:eastAsia="仿宋"/>
          <w:color w:val="auto"/>
          <w:sz w:val="32"/>
          <w:szCs w:val="32"/>
          <w:lang w:eastAsia="zh-CN"/>
        </w:rPr>
      </w:pPr>
      <w:r>
        <w:rPr>
          <w:rFonts w:hint="eastAsia" w:ascii="仿宋" w:hAnsi="仿宋" w:eastAsia="仿宋"/>
          <w:color w:val="auto"/>
          <w:sz w:val="32"/>
          <w:szCs w:val="32"/>
        </w:rPr>
        <w:t>附件</w:t>
      </w:r>
      <w:r>
        <w:rPr>
          <w:rFonts w:hint="eastAsia" w:ascii="仿宋" w:hAnsi="仿宋" w:eastAsia="仿宋"/>
          <w:color w:val="auto"/>
          <w:sz w:val="32"/>
          <w:szCs w:val="32"/>
          <w:lang w:eastAsia="zh-CN"/>
        </w:rPr>
        <w:t>：</w:t>
      </w:r>
      <w:r>
        <w:rPr>
          <w:rFonts w:hint="eastAsia" w:ascii="仿宋" w:hAnsi="仿宋" w:eastAsia="仿宋"/>
          <w:color w:val="auto"/>
          <w:sz w:val="32"/>
          <w:szCs w:val="32"/>
        </w:rPr>
        <w:t>内蒙古自治区本级基本医疗保险参保</w:t>
      </w:r>
      <w:r>
        <w:rPr>
          <w:rFonts w:hint="eastAsia" w:ascii="仿宋" w:hAnsi="仿宋" w:eastAsia="仿宋"/>
          <w:color w:val="auto"/>
          <w:sz w:val="32"/>
          <w:szCs w:val="32"/>
          <w:lang w:eastAsia="zh-CN"/>
        </w:rPr>
        <w:t>职工</w:t>
      </w:r>
      <w:r>
        <w:rPr>
          <w:rFonts w:hint="eastAsia" w:ascii="仿宋" w:hAnsi="仿宋" w:eastAsia="仿宋"/>
          <w:color w:val="auto"/>
          <w:sz w:val="32"/>
          <w:szCs w:val="32"/>
        </w:rPr>
        <w:t>丢失医疗费用发票核对</w:t>
      </w:r>
      <w:r>
        <w:rPr>
          <w:rFonts w:hint="eastAsia" w:ascii="仿宋" w:hAnsi="仿宋" w:eastAsia="仿宋"/>
          <w:color w:val="auto"/>
          <w:sz w:val="32"/>
          <w:szCs w:val="32"/>
          <w:lang w:eastAsia="zh-CN"/>
        </w:rPr>
        <w:t>单</w:t>
      </w:r>
    </w:p>
    <w:p>
      <w:pPr>
        <w:keepNext w:val="0"/>
        <w:keepLines w:val="0"/>
        <w:pageBreakBefore w:val="0"/>
        <w:kinsoku/>
        <w:wordWrap/>
        <w:overflowPunct/>
        <w:topLinePunct w:val="0"/>
        <w:autoSpaceDE/>
        <w:autoSpaceDN/>
        <w:bidi w:val="0"/>
        <w:snapToGrid/>
        <w:spacing w:line="580" w:lineRule="exact"/>
        <w:textAlignment w:val="auto"/>
        <w:rPr>
          <w:rFonts w:hint="eastAsia" w:ascii="仿宋" w:hAnsi="仿宋" w:eastAsia="黑体"/>
          <w:color w:val="auto"/>
          <w:sz w:val="32"/>
          <w:szCs w:val="32"/>
        </w:rPr>
      </w:pPr>
    </w:p>
    <w:p>
      <w:pPr>
        <w:keepNext w:val="0"/>
        <w:keepLines w:val="0"/>
        <w:pageBreakBefore w:val="0"/>
        <w:kinsoku/>
        <w:wordWrap/>
        <w:overflowPunct/>
        <w:topLinePunct w:val="0"/>
        <w:autoSpaceDE/>
        <w:autoSpaceDN/>
        <w:bidi w:val="0"/>
        <w:snapToGrid/>
        <w:spacing w:line="580" w:lineRule="exact"/>
        <w:textAlignment w:val="auto"/>
        <w:rPr>
          <w:rFonts w:hint="eastAsia" w:ascii="仿宋" w:hAnsi="仿宋" w:eastAsia="黑体"/>
          <w:color w:val="auto"/>
          <w:sz w:val="32"/>
          <w:szCs w:val="32"/>
        </w:rPr>
      </w:pPr>
      <w:r>
        <w:rPr>
          <w:rFonts w:hint="eastAsia" w:ascii="仿宋" w:hAnsi="仿宋" w:eastAsia="黑体"/>
          <w:color w:val="auto"/>
          <w:sz w:val="32"/>
          <w:szCs w:val="32"/>
        </w:rPr>
        <w:br w:type="page"/>
      </w:r>
      <w:r>
        <w:rPr>
          <w:rFonts w:hint="eastAsia" w:ascii="仿宋" w:hAnsi="仿宋" w:eastAsia="黑体"/>
          <w:color w:val="auto"/>
          <w:sz w:val="32"/>
          <w:szCs w:val="32"/>
        </w:rPr>
        <w:t>附件</w:t>
      </w:r>
    </w:p>
    <w:p>
      <w:pPr>
        <w:keepNext w:val="0"/>
        <w:keepLines w:val="0"/>
        <w:pageBreakBefore w:val="0"/>
        <w:kinsoku/>
        <w:wordWrap/>
        <w:overflowPunct/>
        <w:topLinePunct w:val="0"/>
        <w:autoSpaceDE/>
        <w:autoSpaceDN/>
        <w:bidi w:val="0"/>
        <w:snapToGrid/>
        <w:spacing w:line="580" w:lineRule="exact"/>
        <w:textAlignment w:val="auto"/>
        <w:rPr>
          <w:rFonts w:hint="eastAsia" w:ascii="仿宋" w:hAnsi="仿宋" w:eastAsia="黑体"/>
          <w:color w:val="auto"/>
          <w:sz w:val="32"/>
          <w:szCs w:val="32"/>
        </w:rPr>
      </w:pPr>
    </w:p>
    <w:p>
      <w:pPr>
        <w:keepNext w:val="0"/>
        <w:keepLines w:val="0"/>
        <w:pageBreakBefore w:val="0"/>
        <w:kinsoku/>
        <w:wordWrap/>
        <w:overflowPunct/>
        <w:topLinePunct w:val="0"/>
        <w:autoSpaceDE/>
        <w:autoSpaceDN/>
        <w:bidi w:val="0"/>
        <w:snapToGrid/>
        <w:spacing w:line="580" w:lineRule="exact"/>
        <w:textAlignment w:val="auto"/>
        <w:rPr>
          <w:rFonts w:hint="eastAsia" w:ascii="仿宋" w:hAnsi="仿宋" w:eastAsia="黑体"/>
          <w:color w:val="auto"/>
          <w:sz w:val="32"/>
          <w:szCs w:val="32"/>
        </w:rPr>
      </w:pPr>
    </w:p>
    <w:p>
      <w:pPr>
        <w:keepNext w:val="0"/>
        <w:keepLines w:val="0"/>
        <w:pageBreakBefore w:val="0"/>
        <w:widowControl w:val="0"/>
        <w:kinsoku/>
        <w:wordWrap/>
        <w:overflowPunct/>
        <w:topLinePunct w:val="0"/>
        <w:autoSpaceDE/>
        <w:autoSpaceDN/>
        <w:bidi w:val="0"/>
        <w:adjustRightInd/>
        <w:snapToGrid/>
        <w:spacing w:line="580" w:lineRule="exact"/>
        <w:ind w:right="600"/>
        <w:textAlignment w:val="auto"/>
        <w:rPr>
          <w:rFonts w:hint="eastAsia" w:ascii="仿宋" w:hAnsi="仿宋" w:eastAsia="仿宋"/>
          <w:color w:val="auto"/>
          <w:sz w:val="32"/>
          <w:szCs w:val="32"/>
        </w:rPr>
      </w:pPr>
      <w:r>
        <w:rPr>
          <w:rFonts w:hint="eastAsia" w:ascii="仿宋" w:hAnsi="仿宋" w:eastAsia="仿宋"/>
          <w:color w:val="auto"/>
          <w:sz w:val="32"/>
          <w:szCs w:val="32"/>
          <w:lang w:eastAsia="zh-CN"/>
        </w:rPr>
        <w:t>核对单</w:t>
      </w:r>
      <w:r>
        <w:rPr>
          <w:rFonts w:hint="eastAsia" w:ascii="仿宋" w:hAnsi="仿宋" w:eastAsia="仿宋"/>
          <w:color w:val="auto"/>
          <w:sz w:val="32"/>
          <w:szCs w:val="32"/>
        </w:rPr>
        <w:t>编号</w:t>
      </w:r>
      <w:r>
        <w:rPr>
          <w:rFonts w:hint="eastAsia" w:ascii="仿宋" w:hAnsi="仿宋" w:eastAsia="仿宋"/>
          <w:color w:val="auto"/>
          <w:sz w:val="32"/>
          <w:szCs w:val="32"/>
          <w:lang w:eastAsia="zh-CN"/>
        </w:rPr>
        <w:t>：</w:t>
      </w:r>
      <w:r>
        <w:rPr>
          <w:rFonts w:hint="eastAsia" w:ascii="仿宋" w:hAnsi="仿宋" w:eastAsia="仿宋"/>
          <w:color w:val="auto"/>
          <w:sz w:val="32"/>
          <w:szCs w:val="32"/>
        </w:rPr>
        <w:t>_____年____月_____日_________号</w:t>
      </w:r>
    </w:p>
    <w:p>
      <w:pPr>
        <w:keepNext w:val="0"/>
        <w:keepLines w:val="0"/>
        <w:pageBreakBefore w:val="0"/>
        <w:widowControl w:val="0"/>
        <w:kinsoku/>
        <w:wordWrap/>
        <w:overflowPunct/>
        <w:topLinePunct w:val="0"/>
        <w:autoSpaceDE/>
        <w:autoSpaceDN/>
        <w:bidi w:val="0"/>
        <w:adjustRightInd/>
        <w:snapToGrid/>
        <w:spacing w:before="313" w:beforeLines="100" w:line="560" w:lineRule="exact"/>
        <w:jc w:val="center"/>
        <w:textAlignment w:val="auto"/>
        <w:rPr>
          <w:rFonts w:hint="eastAsia" w:ascii="方正小标宋简体" w:hAnsi="方正小标宋简体" w:eastAsia="方正小标宋简体" w:cs="方正小标宋简体"/>
          <w:color w:val="auto"/>
          <w:sz w:val="44"/>
          <w:szCs w:val="32"/>
          <w:lang w:eastAsia="zh-CN"/>
        </w:rPr>
      </w:pPr>
      <w:r>
        <w:rPr>
          <w:rFonts w:hint="eastAsia" w:ascii="方正小标宋简体" w:hAnsi="方正小标宋简体" w:eastAsia="方正小标宋简体" w:cs="方正小标宋简体"/>
          <w:color w:val="auto"/>
          <w:sz w:val="44"/>
          <w:szCs w:val="32"/>
        </w:rPr>
        <w:t>内蒙古自治区本级基本医疗保险参保</w:t>
      </w:r>
      <w:r>
        <w:rPr>
          <w:rFonts w:hint="eastAsia" w:ascii="方正小标宋简体" w:hAnsi="方正小标宋简体" w:eastAsia="方正小标宋简体" w:cs="方正小标宋简体"/>
          <w:color w:val="auto"/>
          <w:sz w:val="44"/>
          <w:szCs w:val="32"/>
          <w:lang w:eastAsia="zh-CN"/>
        </w:rPr>
        <w:t>职工</w:t>
      </w:r>
    </w:p>
    <w:p>
      <w:pPr>
        <w:keepNext w:val="0"/>
        <w:keepLines w:val="0"/>
        <w:pageBreakBefore w:val="0"/>
        <w:widowControl w:val="0"/>
        <w:kinsoku/>
        <w:wordWrap/>
        <w:overflowPunct/>
        <w:topLinePunct w:val="0"/>
        <w:autoSpaceDE/>
        <w:autoSpaceDN/>
        <w:bidi w:val="0"/>
        <w:adjustRightInd/>
        <w:snapToGrid/>
        <w:spacing w:before="313" w:beforeLines="100" w:line="560" w:lineRule="exact"/>
        <w:jc w:val="center"/>
        <w:textAlignment w:val="auto"/>
        <w:rPr>
          <w:rFonts w:hint="eastAsia" w:ascii="方正小标宋简体" w:hAnsi="方正小标宋简体" w:eastAsia="方正小标宋简体" w:cs="方正小标宋简体"/>
          <w:color w:val="auto"/>
          <w:sz w:val="44"/>
          <w:szCs w:val="32"/>
          <w:lang w:eastAsia="zh-CN"/>
        </w:rPr>
      </w:pPr>
      <w:r>
        <w:rPr>
          <w:rFonts w:hint="eastAsia" w:ascii="方正小标宋简体" w:hAnsi="方正小标宋简体" w:eastAsia="方正小标宋简体" w:cs="方正小标宋简体"/>
          <w:color w:val="auto"/>
          <w:sz w:val="44"/>
          <w:szCs w:val="32"/>
        </w:rPr>
        <w:t>丢失医疗费用发票核对</w:t>
      </w:r>
      <w:r>
        <w:rPr>
          <w:rFonts w:hint="eastAsia" w:ascii="方正小标宋简体" w:hAnsi="方正小标宋简体" w:eastAsia="方正小标宋简体" w:cs="方正小标宋简体"/>
          <w:color w:val="auto"/>
          <w:sz w:val="44"/>
          <w:szCs w:val="32"/>
          <w:lang w:eastAsia="zh-CN"/>
        </w:rPr>
        <w:t>单</w:t>
      </w: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ascii="仿宋" w:hAnsi="仿宋" w:eastAsia="仿宋"/>
          <w:color w:val="auto"/>
          <w:sz w:val="32"/>
          <w:szCs w:val="32"/>
        </w:rPr>
      </w:pPr>
      <w:r>
        <w:rPr>
          <w:rFonts w:hint="eastAsia" w:ascii="仿宋" w:hAnsi="仿宋" w:eastAsia="仿宋"/>
          <w:color w:val="auto"/>
          <w:sz w:val="32"/>
          <w:szCs w:val="32"/>
        </w:rPr>
        <w:t>定点医疗机构名称：</w:t>
      </w: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ascii="仿宋" w:hAnsi="仿宋" w:eastAsia="仿宋"/>
          <w:color w:val="auto"/>
          <w:sz w:val="32"/>
          <w:szCs w:val="32"/>
        </w:rPr>
      </w:pPr>
      <w:r>
        <w:rPr>
          <w:rFonts w:hint="eastAsia" w:ascii="仿宋" w:hAnsi="仿宋" w:eastAsia="仿宋"/>
          <w:color w:val="auto"/>
          <w:sz w:val="32"/>
          <w:szCs w:val="32"/>
        </w:rPr>
        <w:t>定点医疗机构编码：</w:t>
      </w:r>
    </w:p>
    <w:p>
      <w:pPr>
        <w:keepNext w:val="0"/>
        <w:keepLines w:val="0"/>
        <w:pageBreakBefore w:val="0"/>
        <w:widowControl w:val="0"/>
        <w:kinsoku/>
        <w:wordWrap/>
        <w:overflowPunct/>
        <w:topLinePunct w:val="0"/>
        <w:autoSpaceDE/>
        <w:autoSpaceDN/>
        <w:bidi w:val="0"/>
        <w:adjustRightInd/>
        <w:snapToGrid/>
        <w:spacing w:line="560" w:lineRule="exact"/>
        <w:ind w:firstLine="640"/>
        <w:jc w:val="both"/>
        <w:textAlignment w:val="auto"/>
        <w:rPr>
          <w:rFonts w:hint="eastAsia" w:ascii="仿宋" w:hAnsi="仿宋" w:eastAsia="仿宋"/>
          <w:color w:val="auto"/>
          <w:sz w:val="32"/>
          <w:szCs w:val="32"/>
          <w:lang w:val="en-US" w:eastAsia="zh-CN"/>
        </w:rPr>
      </w:pPr>
      <w:r>
        <w:rPr>
          <w:rFonts w:hint="eastAsia" w:ascii="仿宋" w:hAnsi="仿宋" w:eastAsia="仿宋"/>
          <w:color w:val="auto"/>
          <w:sz w:val="32"/>
          <w:szCs w:val="32"/>
        </w:rPr>
        <w:t>患者姓名：________身份证号码</w:t>
      </w:r>
      <w:r>
        <w:rPr>
          <w:rFonts w:hint="eastAsia" w:ascii="仿宋" w:hAnsi="仿宋" w:eastAsia="仿宋"/>
          <w:color w:val="auto"/>
          <w:sz w:val="32"/>
          <w:szCs w:val="32"/>
          <w:lang w:eastAsia="zh-CN"/>
        </w:rPr>
        <w:t>：</w:t>
      </w:r>
      <w:r>
        <w:rPr>
          <w:rFonts w:hint="eastAsia" w:ascii="仿宋" w:hAnsi="仿宋" w:eastAsia="仿宋"/>
          <w:color w:val="auto"/>
          <w:sz w:val="32"/>
          <w:szCs w:val="32"/>
        </w:rPr>
        <w:t>____________住院病历号：__________收费收据号：_________，于_____年___月___日因_________________________疾病，在我院就医，共发生住院/门诊医疗费用______元</w:t>
      </w:r>
      <w:r>
        <w:rPr>
          <w:rFonts w:hint="eastAsia" w:ascii="仿宋" w:hAnsi="仿宋" w:eastAsia="仿宋"/>
          <w:color w:val="auto"/>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color w:val="auto"/>
          <w:sz w:val="32"/>
          <w:szCs w:val="32"/>
        </w:rPr>
      </w:pPr>
      <w:r>
        <w:rPr>
          <w:rFonts w:hint="eastAsia" w:ascii="黑体" w:hAnsi="黑体" w:eastAsia="黑体" w:cs="黑体"/>
          <w:color w:val="auto"/>
          <w:sz w:val="32"/>
          <w:szCs w:val="32"/>
        </w:rPr>
        <w:t>住院医疗费用收据核对单</w:t>
      </w:r>
    </w:p>
    <w:tbl>
      <w:tblPr>
        <w:tblStyle w:val="11"/>
        <w:tblW w:w="8859" w:type="dxa"/>
        <w:jc w:val="center"/>
        <w:tblInd w:w="-34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62"/>
        <w:gridCol w:w="1419"/>
        <w:gridCol w:w="1419"/>
        <w:gridCol w:w="1419"/>
        <w:gridCol w:w="1420"/>
        <w:gridCol w:w="14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exact"/>
          <w:jc w:val="center"/>
        </w:trPr>
        <w:tc>
          <w:tcPr>
            <w:tcW w:w="1762" w:type="dxa"/>
            <w:noWrap w:val="0"/>
            <w:vAlign w:val="top"/>
          </w:tcPr>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黑体" w:hAnsi="黑体" w:eastAsia="黑体" w:cs="黑体"/>
                <w:color w:val="auto"/>
                <w:sz w:val="32"/>
                <w:szCs w:val="32"/>
              </w:rPr>
            </w:pPr>
            <w:r>
              <w:rPr>
                <w:rFonts w:hint="eastAsia" w:ascii="黑体" w:hAnsi="黑体" w:eastAsia="黑体" w:cs="黑体"/>
                <w:color w:val="auto"/>
                <w:sz w:val="32"/>
                <w:szCs w:val="32"/>
              </w:rPr>
              <w:t>项</w:t>
            </w:r>
            <w:r>
              <w:rPr>
                <w:rFonts w:hint="eastAsia" w:ascii="黑体" w:hAnsi="黑体" w:eastAsia="黑体" w:cs="黑体"/>
                <w:color w:val="auto"/>
                <w:sz w:val="32"/>
                <w:szCs w:val="32"/>
                <w:lang w:val="en-US" w:eastAsia="zh-CN"/>
              </w:rPr>
              <w:t xml:space="preserve">  </w:t>
            </w:r>
            <w:r>
              <w:rPr>
                <w:rFonts w:hint="eastAsia" w:ascii="黑体" w:hAnsi="黑体" w:eastAsia="黑体" w:cs="黑体"/>
                <w:color w:val="auto"/>
                <w:sz w:val="32"/>
                <w:szCs w:val="32"/>
              </w:rPr>
              <w:t>目</w:t>
            </w:r>
          </w:p>
        </w:tc>
        <w:tc>
          <w:tcPr>
            <w:tcW w:w="1419" w:type="dxa"/>
            <w:noWrap w:val="0"/>
            <w:vAlign w:val="top"/>
          </w:tcPr>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黑体" w:hAnsi="黑体" w:eastAsia="黑体" w:cs="黑体"/>
                <w:color w:val="auto"/>
                <w:sz w:val="32"/>
                <w:szCs w:val="32"/>
              </w:rPr>
            </w:pPr>
            <w:r>
              <w:rPr>
                <w:rFonts w:hint="eastAsia" w:ascii="黑体" w:hAnsi="黑体" w:eastAsia="黑体" w:cs="黑体"/>
                <w:color w:val="auto"/>
                <w:sz w:val="32"/>
                <w:szCs w:val="32"/>
              </w:rPr>
              <w:t>金</w:t>
            </w:r>
            <w:r>
              <w:rPr>
                <w:rFonts w:hint="eastAsia" w:ascii="黑体" w:hAnsi="黑体" w:eastAsia="黑体" w:cs="黑体"/>
                <w:color w:val="auto"/>
                <w:sz w:val="32"/>
                <w:szCs w:val="32"/>
                <w:lang w:val="en-US" w:eastAsia="zh-CN"/>
              </w:rPr>
              <w:t xml:space="preserve">  </w:t>
            </w:r>
            <w:r>
              <w:rPr>
                <w:rFonts w:hint="eastAsia" w:ascii="黑体" w:hAnsi="黑体" w:eastAsia="黑体" w:cs="黑体"/>
                <w:color w:val="auto"/>
                <w:sz w:val="32"/>
                <w:szCs w:val="32"/>
              </w:rPr>
              <w:t>额</w:t>
            </w:r>
          </w:p>
        </w:tc>
        <w:tc>
          <w:tcPr>
            <w:tcW w:w="1419" w:type="dxa"/>
            <w:noWrap w:val="0"/>
            <w:vAlign w:val="top"/>
          </w:tcPr>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黑体" w:hAnsi="黑体" w:eastAsia="黑体" w:cs="黑体"/>
                <w:color w:val="auto"/>
                <w:sz w:val="32"/>
                <w:szCs w:val="32"/>
              </w:rPr>
            </w:pPr>
            <w:r>
              <w:rPr>
                <w:rFonts w:hint="eastAsia" w:ascii="黑体" w:hAnsi="黑体" w:eastAsia="黑体" w:cs="黑体"/>
                <w:color w:val="auto"/>
                <w:sz w:val="32"/>
                <w:szCs w:val="32"/>
              </w:rPr>
              <w:t>项</w:t>
            </w:r>
            <w:r>
              <w:rPr>
                <w:rFonts w:hint="eastAsia" w:ascii="黑体" w:hAnsi="黑体" w:eastAsia="黑体" w:cs="黑体"/>
                <w:color w:val="auto"/>
                <w:sz w:val="32"/>
                <w:szCs w:val="32"/>
                <w:lang w:val="en-US" w:eastAsia="zh-CN"/>
              </w:rPr>
              <w:t xml:space="preserve">  </w:t>
            </w:r>
            <w:r>
              <w:rPr>
                <w:rFonts w:hint="eastAsia" w:ascii="黑体" w:hAnsi="黑体" w:eastAsia="黑体" w:cs="黑体"/>
                <w:color w:val="auto"/>
                <w:sz w:val="32"/>
                <w:szCs w:val="32"/>
              </w:rPr>
              <w:t>目</w:t>
            </w:r>
          </w:p>
        </w:tc>
        <w:tc>
          <w:tcPr>
            <w:tcW w:w="1419" w:type="dxa"/>
            <w:noWrap w:val="0"/>
            <w:vAlign w:val="top"/>
          </w:tcPr>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黑体" w:hAnsi="黑体" w:eastAsia="黑体" w:cs="黑体"/>
                <w:color w:val="auto"/>
                <w:sz w:val="32"/>
                <w:szCs w:val="32"/>
              </w:rPr>
            </w:pPr>
            <w:r>
              <w:rPr>
                <w:rFonts w:hint="eastAsia" w:ascii="黑体" w:hAnsi="黑体" w:eastAsia="黑体" w:cs="黑体"/>
                <w:color w:val="auto"/>
                <w:sz w:val="32"/>
                <w:szCs w:val="32"/>
              </w:rPr>
              <w:t>金</w:t>
            </w:r>
            <w:r>
              <w:rPr>
                <w:rFonts w:hint="eastAsia" w:ascii="黑体" w:hAnsi="黑体" w:eastAsia="黑体" w:cs="黑体"/>
                <w:color w:val="auto"/>
                <w:sz w:val="32"/>
                <w:szCs w:val="32"/>
                <w:lang w:val="en-US" w:eastAsia="zh-CN"/>
              </w:rPr>
              <w:t xml:space="preserve">  </w:t>
            </w:r>
            <w:r>
              <w:rPr>
                <w:rFonts w:hint="eastAsia" w:ascii="黑体" w:hAnsi="黑体" w:eastAsia="黑体" w:cs="黑体"/>
                <w:color w:val="auto"/>
                <w:sz w:val="32"/>
                <w:szCs w:val="32"/>
              </w:rPr>
              <w:t>额</w:t>
            </w:r>
          </w:p>
        </w:tc>
        <w:tc>
          <w:tcPr>
            <w:tcW w:w="1420" w:type="dxa"/>
            <w:noWrap w:val="0"/>
            <w:vAlign w:val="top"/>
          </w:tcPr>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黑体" w:hAnsi="黑体" w:eastAsia="黑体" w:cs="黑体"/>
                <w:color w:val="auto"/>
                <w:sz w:val="32"/>
                <w:szCs w:val="32"/>
              </w:rPr>
            </w:pPr>
            <w:r>
              <w:rPr>
                <w:rFonts w:hint="eastAsia" w:ascii="黑体" w:hAnsi="黑体" w:eastAsia="黑体" w:cs="黑体"/>
                <w:color w:val="auto"/>
                <w:sz w:val="32"/>
                <w:szCs w:val="32"/>
              </w:rPr>
              <w:t>项</w:t>
            </w:r>
            <w:r>
              <w:rPr>
                <w:rFonts w:hint="eastAsia" w:ascii="黑体" w:hAnsi="黑体" w:eastAsia="黑体" w:cs="黑体"/>
                <w:color w:val="auto"/>
                <w:sz w:val="32"/>
                <w:szCs w:val="32"/>
                <w:lang w:val="en-US" w:eastAsia="zh-CN"/>
              </w:rPr>
              <w:t xml:space="preserve">  </w:t>
            </w:r>
            <w:r>
              <w:rPr>
                <w:rFonts w:hint="eastAsia" w:ascii="黑体" w:hAnsi="黑体" w:eastAsia="黑体" w:cs="黑体"/>
                <w:color w:val="auto"/>
                <w:sz w:val="32"/>
                <w:szCs w:val="32"/>
              </w:rPr>
              <w:t>目</w:t>
            </w:r>
          </w:p>
        </w:tc>
        <w:tc>
          <w:tcPr>
            <w:tcW w:w="1420" w:type="dxa"/>
            <w:noWrap w:val="0"/>
            <w:vAlign w:val="top"/>
          </w:tcPr>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黑体" w:hAnsi="黑体" w:eastAsia="黑体" w:cs="黑体"/>
                <w:color w:val="auto"/>
                <w:sz w:val="32"/>
                <w:szCs w:val="32"/>
              </w:rPr>
            </w:pPr>
            <w:r>
              <w:rPr>
                <w:rFonts w:hint="eastAsia" w:ascii="黑体" w:hAnsi="黑体" w:eastAsia="黑体" w:cs="黑体"/>
                <w:color w:val="auto"/>
                <w:sz w:val="32"/>
                <w:szCs w:val="32"/>
              </w:rPr>
              <w:t>金</w:t>
            </w:r>
            <w:r>
              <w:rPr>
                <w:rFonts w:hint="eastAsia" w:ascii="黑体" w:hAnsi="黑体" w:eastAsia="黑体" w:cs="黑体"/>
                <w:color w:val="auto"/>
                <w:sz w:val="32"/>
                <w:szCs w:val="32"/>
                <w:lang w:val="en-US" w:eastAsia="zh-CN"/>
              </w:rPr>
              <w:t xml:space="preserve">  </w:t>
            </w:r>
            <w:r>
              <w:rPr>
                <w:rFonts w:hint="eastAsia" w:ascii="黑体" w:hAnsi="黑体" w:eastAsia="黑体" w:cs="黑体"/>
                <w:color w:val="auto"/>
                <w:sz w:val="32"/>
                <w:szCs w:val="32"/>
              </w:rPr>
              <w:t>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exact"/>
          <w:jc w:val="center"/>
        </w:trPr>
        <w:tc>
          <w:tcPr>
            <w:tcW w:w="1762" w:type="dxa"/>
            <w:noWrap w:val="0"/>
            <w:vAlign w:val="top"/>
          </w:tcPr>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ascii="仿宋" w:hAnsi="仿宋" w:eastAsia="仿宋"/>
                <w:color w:val="auto"/>
                <w:sz w:val="32"/>
                <w:szCs w:val="32"/>
              </w:rPr>
            </w:pPr>
            <w:r>
              <w:rPr>
                <w:rFonts w:hint="eastAsia" w:ascii="仿宋" w:hAnsi="仿宋" w:eastAsia="仿宋"/>
                <w:color w:val="auto"/>
                <w:sz w:val="32"/>
                <w:szCs w:val="32"/>
              </w:rPr>
              <w:t>西药费</w:t>
            </w:r>
          </w:p>
        </w:tc>
        <w:tc>
          <w:tcPr>
            <w:tcW w:w="1419" w:type="dxa"/>
            <w:noWrap w:val="0"/>
            <w:vAlign w:val="top"/>
          </w:tcPr>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ascii="仿宋" w:hAnsi="仿宋" w:eastAsia="仿宋"/>
                <w:color w:val="auto"/>
                <w:sz w:val="32"/>
                <w:szCs w:val="32"/>
              </w:rPr>
            </w:pPr>
          </w:p>
        </w:tc>
        <w:tc>
          <w:tcPr>
            <w:tcW w:w="1419" w:type="dxa"/>
            <w:noWrap w:val="0"/>
            <w:vAlign w:val="top"/>
          </w:tcPr>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ascii="仿宋" w:hAnsi="仿宋" w:eastAsia="仿宋"/>
                <w:color w:val="auto"/>
                <w:sz w:val="32"/>
                <w:szCs w:val="32"/>
              </w:rPr>
            </w:pPr>
            <w:r>
              <w:rPr>
                <w:rFonts w:hint="eastAsia" w:ascii="仿宋" w:hAnsi="仿宋" w:eastAsia="仿宋"/>
                <w:color w:val="auto"/>
                <w:sz w:val="32"/>
                <w:szCs w:val="32"/>
              </w:rPr>
              <w:t>诊疗费</w:t>
            </w:r>
          </w:p>
        </w:tc>
        <w:tc>
          <w:tcPr>
            <w:tcW w:w="1419" w:type="dxa"/>
            <w:noWrap w:val="0"/>
            <w:vAlign w:val="top"/>
          </w:tcPr>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ascii="仿宋" w:hAnsi="仿宋" w:eastAsia="仿宋"/>
                <w:color w:val="auto"/>
                <w:sz w:val="32"/>
                <w:szCs w:val="32"/>
              </w:rPr>
            </w:pPr>
          </w:p>
        </w:tc>
        <w:tc>
          <w:tcPr>
            <w:tcW w:w="1420" w:type="dxa"/>
            <w:noWrap w:val="0"/>
            <w:vAlign w:val="top"/>
          </w:tcPr>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ascii="仿宋" w:hAnsi="仿宋" w:eastAsia="仿宋"/>
                <w:color w:val="auto"/>
                <w:sz w:val="32"/>
                <w:szCs w:val="32"/>
              </w:rPr>
            </w:pPr>
            <w:r>
              <w:rPr>
                <w:rFonts w:hint="eastAsia" w:ascii="仿宋" w:hAnsi="仿宋" w:eastAsia="仿宋"/>
                <w:color w:val="auto"/>
                <w:sz w:val="32"/>
                <w:szCs w:val="32"/>
              </w:rPr>
              <w:t>床位费</w:t>
            </w:r>
          </w:p>
        </w:tc>
        <w:tc>
          <w:tcPr>
            <w:tcW w:w="1420" w:type="dxa"/>
            <w:noWrap w:val="0"/>
            <w:vAlign w:val="top"/>
          </w:tcPr>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ascii="仿宋" w:hAnsi="仿宋" w:eastAsia="仿宋"/>
                <w:color w:val="auto"/>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exact"/>
          <w:jc w:val="center"/>
        </w:trPr>
        <w:tc>
          <w:tcPr>
            <w:tcW w:w="1762" w:type="dxa"/>
            <w:noWrap w:val="0"/>
            <w:vAlign w:val="top"/>
          </w:tcPr>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ascii="仿宋" w:hAnsi="仿宋" w:eastAsia="仿宋"/>
                <w:color w:val="auto"/>
                <w:sz w:val="32"/>
                <w:szCs w:val="32"/>
              </w:rPr>
            </w:pPr>
            <w:r>
              <w:rPr>
                <w:rFonts w:hint="eastAsia" w:ascii="仿宋" w:hAnsi="仿宋" w:eastAsia="仿宋"/>
                <w:color w:val="auto"/>
                <w:sz w:val="32"/>
                <w:szCs w:val="32"/>
              </w:rPr>
              <w:t>中成药</w:t>
            </w:r>
          </w:p>
        </w:tc>
        <w:tc>
          <w:tcPr>
            <w:tcW w:w="1419" w:type="dxa"/>
            <w:noWrap w:val="0"/>
            <w:vAlign w:val="top"/>
          </w:tcPr>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ascii="仿宋" w:hAnsi="仿宋" w:eastAsia="仿宋"/>
                <w:color w:val="auto"/>
                <w:sz w:val="32"/>
                <w:szCs w:val="32"/>
              </w:rPr>
            </w:pPr>
          </w:p>
        </w:tc>
        <w:tc>
          <w:tcPr>
            <w:tcW w:w="1419" w:type="dxa"/>
            <w:noWrap w:val="0"/>
            <w:vAlign w:val="top"/>
          </w:tcPr>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ascii="仿宋" w:hAnsi="仿宋" w:eastAsia="仿宋"/>
                <w:color w:val="auto"/>
                <w:sz w:val="32"/>
                <w:szCs w:val="32"/>
              </w:rPr>
            </w:pPr>
            <w:r>
              <w:rPr>
                <w:rFonts w:hint="eastAsia" w:ascii="仿宋" w:hAnsi="仿宋" w:eastAsia="仿宋"/>
                <w:color w:val="auto"/>
                <w:sz w:val="32"/>
                <w:szCs w:val="32"/>
              </w:rPr>
              <w:t>化验费</w:t>
            </w:r>
          </w:p>
        </w:tc>
        <w:tc>
          <w:tcPr>
            <w:tcW w:w="1419" w:type="dxa"/>
            <w:noWrap w:val="0"/>
            <w:vAlign w:val="top"/>
          </w:tcPr>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ascii="仿宋" w:hAnsi="仿宋" w:eastAsia="仿宋"/>
                <w:color w:val="auto"/>
                <w:sz w:val="32"/>
                <w:szCs w:val="32"/>
              </w:rPr>
            </w:pPr>
          </w:p>
        </w:tc>
        <w:tc>
          <w:tcPr>
            <w:tcW w:w="1420" w:type="dxa"/>
            <w:noWrap w:val="0"/>
            <w:vAlign w:val="top"/>
          </w:tcPr>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ascii="仿宋" w:hAnsi="仿宋" w:eastAsia="仿宋"/>
                <w:color w:val="auto"/>
                <w:sz w:val="32"/>
                <w:szCs w:val="32"/>
              </w:rPr>
            </w:pPr>
            <w:r>
              <w:rPr>
                <w:rFonts w:hint="eastAsia" w:ascii="仿宋" w:hAnsi="仿宋" w:eastAsia="仿宋"/>
                <w:color w:val="auto"/>
                <w:sz w:val="32"/>
                <w:szCs w:val="32"/>
              </w:rPr>
              <w:t>取暖费</w:t>
            </w:r>
          </w:p>
        </w:tc>
        <w:tc>
          <w:tcPr>
            <w:tcW w:w="1420" w:type="dxa"/>
            <w:noWrap w:val="0"/>
            <w:vAlign w:val="top"/>
          </w:tcPr>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ascii="仿宋" w:hAnsi="仿宋" w:eastAsia="仿宋"/>
                <w:color w:val="auto"/>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exact"/>
          <w:jc w:val="center"/>
        </w:trPr>
        <w:tc>
          <w:tcPr>
            <w:tcW w:w="1762" w:type="dxa"/>
            <w:noWrap w:val="0"/>
            <w:vAlign w:val="top"/>
          </w:tcPr>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ascii="仿宋" w:hAnsi="仿宋" w:eastAsia="仿宋"/>
                <w:color w:val="auto"/>
                <w:sz w:val="32"/>
                <w:szCs w:val="32"/>
              </w:rPr>
            </w:pPr>
            <w:r>
              <w:rPr>
                <w:rFonts w:hint="eastAsia" w:ascii="仿宋" w:hAnsi="仿宋" w:eastAsia="仿宋"/>
                <w:color w:val="auto"/>
                <w:sz w:val="32"/>
                <w:szCs w:val="32"/>
              </w:rPr>
              <w:t>中草药</w:t>
            </w:r>
          </w:p>
        </w:tc>
        <w:tc>
          <w:tcPr>
            <w:tcW w:w="1419" w:type="dxa"/>
            <w:noWrap w:val="0"/>
            <w:vAlign w:val="top"/>
          </w:tcPr>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ascii="仿宋" w:hAnsi="仿宋" w:eastAsia="仿宋"/>
                <w:color w:val="auto"/>
                <w:sz w:val="32"/>
                <w:szCs w:val="32"/>
              </w:rPr>
            </w:pPr>
          </w:p>
        </w:tc>
        <w:tc>
          <w:tcPr>
            <w:tcW w:w="1419" w:type="dxa"/>
            <w:noWrap w:val="0"/>
            <w:vAlign w:val="top"/>
          </w:tcPr>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ascii="仿宋" w:hAnsi="仿宋" w:eastAsia="仿宋"/>
                <w:color w:val="auto"/>
                <w:sz w:val="32"/>
                <w:szCs w:val="32"/>
              </w:rPr>
            </w:pPr>
            <w:r>
              <w:rPr>
                <w:rFonts w:hint="eastAsia" w:ascii="仿宋" w:hAnsi="仿宋" w:eastAsia="仿宋"/>
                <w:color w:val="auto"/>
                <w:sz w:val="32"/>
                <w:szCs w:val="32"/>
              </w:rPr>
              <w:t>治疗费</w:t>
            </w:r>
          </w:p>
        </w:tc>
        <w:tc>
          <w:tcPr>
            <w:tcW w:w="1419" w:type="dxa"/>
            <w:noWrap w:val="0"/>
            <w:vAlign w:val="top"/>
          </w:tcPr>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ascii="仿宋" w:hAnsi="仿宋" w:eastAsia="仿宋"/>
                <w:color w:val="auto"/>
                <w:sz w:val="32"/>
                <w:szCs w:val="32"/>
              </w:rPr>
            </w:pPr>
          </w:p>
        </w:tc>
        <w:tc>
          <w:tcPr>
            <w:tcW w:w="1420" w:type="dxa"/>
            <w:noWrap w:val="0"/>
            <w:vAlign w:val="top"/>
          </w:tcPr>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ascii="仿宋" w:hAnsi="仿宋" w:eastAsia="仿宋"/>
                <w:color w:val="auto"/>
                <w:sz w:val="32"/>
                <w:szCs w:val="32"/>
              </w:rPr>
            </w:pPr>
            <w:r>
              <w:rPr>
                <w:rFonts w:hint="eastAsia" w:ascii="仿宋" w:hAnsi="仿宋" w:eastAsia="仿宋"/>
                <w:color w:val="auto"/>
                <w:sz w:val="32"/>
                <w:szCs w:val="32"/>
              </w:rPr>
              <w:t>卫材费</w:t>
            </w:r>
          </w:p>
        </w:tc>
        <w:tc>
          <w:tcPr>
            <w:tcW w:w="1420" w:type="dxa"/>
            <w:noWrap w:val="0"/>
            <w:vAlign w:val="top"/>
          </w:tcPr>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ascii="仿宋" w:hAnsi="仿宋" w:eastAsia="仿宋"/>
                <w:color w:val="auto"/>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exact"/>
          <w:jc w:val="center"/>
        </w:trPr>
        <w:tc>
          <w:tcPr>
            <w:tcW w:w="1762" w:type="dxa"/>
            <w:noWrap w:val="0"/>
            <w:vAlign w:val="top"/>
          </w:tcPr>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ascii="仿宋" w:hAnsi="仿宋" w:eastAsia="仿宋"/>
                <w:color w:val="auto"/>
                <w:sz w:val="32"/>
                <w:szCs w:val="32"/>
              </w:rPr>
            </w:pPr>
            <w:r>
              <w:rPr>
                <w:rFonts w:hint="eastAsia" w:ascii="仿宋" w:hAnsi="仿宋" w:eastAsia="仿宋"/>
                <w:color w:val="auto"/>
                <w:sz w:val="32"/>
                <w:szCs w:val="32"/>
              </w:rPr>
              <w:t>检查费</w:t>
            </w:r>
          </w:p>
        </w:tc>
        <w:tc>
          <w:tcPr>
            <w:tcW w:w="1419" w:type="dxa"/>
            <w:noWrap w:val="0"/>
            <w:vAlign w:val="top"/>
          </w:tcPr>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ascii="仿宋" w:hAnsi="仿宋" w:eastAsia="仿宋"/>
                <w:color w:val="auto"/>
                <w:sz w:val="32"/>
                <w:szCs w:val="32"/>
              </w:rPr>
            </w:pPr>
          </w:p>
        </w:tc>
        <w:tc>
          <w:tcPr>
            <w:tcW w:w="1419" w:type="dxa"/>
            <w:noWrap w:val="0"/>
            <w:vAlign w:val="top"/>
          </w:tcPr>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ascii="仿宋" w:hAnsi="仿宋" w:eastAsia="仿宋"/>
                <w:color w:val="auto"/>
                <w:sz w:val="32"/>
                <w:szCs w:val="32"/>
              </w:rPr>
            </w:pPr>
            <w:r>
              <w:rPr>
                <w:rFonts w:hint="eastAsia" w:ascii="仿宋" w:hAnsi="仿宋" w:eastAsia="仿宋"/>
                <w:color w:val="auto"/>
                <w:sz w:val="32"/>
                <w:szCs w:val="32"/>
              </w:rPr>
              <w:t>护理费</w:t>
            </w:r>
          </w:p>
        </w:tc>
        <w:tc>
          <w:tcPr>
            <w:tcW w:w="1419" w:type="dxa"/>
            <w:noWrap w:val="0"/>
            <w:vAlign w:val="top"/>
          </w:tcPr>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ascii="仿宋" w:hAnsi="仿宋" w:eastAsia="仿宋"/>
                <w:color w:val="auto"/>
                <w:sz w:val="32"/>
                <w:szCs w:val="32"/>
              </w:rPr>
            </w:pPr>
          </w:p>
        </w:tc>
        <w:tc>
          <w:tcPr>
            <w:tcW w:w="1420" w:type="dxa"/>
            <w:noWrap w:val="0"/>
            <w:vAlign w:val="top"/>
          </w:tcPr>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ascii="仿宋" w:hAnsi="仿宋" w:eastAsia="仿宋"/>
                <w:color w:val="auto"/>
                <w:sz w:val="32"/>
                <w:szCs w:val="32"/>
              </w:rPr>
            </w:pPr>
            <w:r>
              <w:rPr>
                <w:rFonts w:hint="eastAsia" w:ascii="仿宋" w:hAnsi="仿宋" w:eastAsia="仿宋"/>
                <w:color w:val="auto"/>
                <w:sz w:val="32"/>
                <w:szCs w:val="32"/>
              </w:rPr>
              <w:t>其</w:t>
            </w:r>
            <w:r>
              <w:rPr>
                <w:rFonts w:hint="eastAsia" w:ascii="仿宋" w:hAnsi="仿宋" w:eastAsia="仿宋"/>
                <w:color w:val="auto"/>
                <w:sz w:val="32"/>
                <w:szCs w:val="32"/>
                <w:lang w:val="en-US" w:eastAsia="zh-CN"/>
              </w:rPr>
              <w:t xml:space="preserve">  </w:t>
            </w:r>
            <w:r>
              <w:rPr>
                <w:rFonts w:hint="eastAsia" w:ascii="仿宋" w:hAnsi="仿宋" w:eastAsia="仿宋"/>
                <w:color w:val="auto"/>
                <w:sz w:val="32"/>
                <w:szCs w:val="32"/>
              </w:rPr>
              <w:t>他</w:t>
            </w:r>
          </w:p>
        </w:tc>
        <w:tc>
          <w:tcPr>
            <w:tcW w:w="1420" w:type="dxa"/>
            <w:noWrap w:val="0"/>
            <w:vAlign w:val="top"/>
          </w:tcPr>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ascii="仿宋" w:hAnsi="仿宋" w:eastAsia="仿宋"/>
                <w:color w:val="auto"/>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exact"/>
          <w:jc w:val="center"/>
        </w:trPr>
        <w:tc>
          <w:tcPr>
            <w:tcW w:w="1762" w:type="dxa"/>
            <w:noWrap w:val="0"/>
            <w:vAlign w:val="top"/>
          </w:tcPr>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ascii="仿宋" w:hAnsi="仿宋" w:eastAsia="仿宋"/>
                <w:color w:val="auto"/>
                <w:sz w:val="32"/>
                <w:szCs w:val="32"/>
              </w:rPr>
            </w:pPr>
            <w:r>
              <w:rPr>
                <w:rFonts w:hint="eastAsia" w:ascii="仿宋" w:hAnsi="仿宋" w:eastAsia="仿宋"/>
                <w:color w:val="auto"/>
                <w:sz w:val="32"/>
                <w:szCs w:val="32"/>
              </w:rPr>
              <w:t>手术费</w:t>
            </w:r>
          </w:p>
        </w:tc>
        <w:tc>
          <w:tcPr>
            <w:tcW w:w="1419" w:type="dxa"/>
            <w:noWrap w:val="0"/>
            <w:vAlign w:val="top"/>
          </w:tcPr>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ascii="仿宋" w:hAnsi="仿宋" w:eastAsia="仿宋"/>
                <w:color w:val="auto"/>
                <w:sz w:val="32"/>
                <w:szCs w:val="32"/>
              </w:rPr>
            </w:pPr>
          </w:p>
        </w:tc>
        <w:tc>
          <w:tcPr>
            <w:tcW w:w="1419" w:type="dxa"/>
            <w:noWrap w:val="0"/>
            <w:vAlign w:val="top"/>
          </w:tcPr>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ascii="仿宋" w:hAnsi="仿宋" w:eastAsia="仿宋"/>
                <w:color w:val="auto"/>
                <w:sz w:val="32"/>
                <w:szCs w:val="32"/>
              </w:rPr>
            </w:pPr>
            <w:r>
              <w:rPr>
                <w:rFonts w:hint="eastAsia" w:ascii="仿宋" w:hAnsi="仿宋" w:eastAsia="仿宋"/>
                <w:color w:val="auto"/>
                <w:sz w:val="32"/>
                <w:szCs w:val="32"/>
              </w:rPr>
              <w:t>输氧费</w:t>
            </w:r>
          </w:p>
        </w:tc>
        <w:tc>
          <w:tcPr>
            <w:tcW w:w="1419" w:type="dxa"/>
            <w:noWrap w:val="0"/>
            <w:vAlign w:val="top"/>
          </w:tcPr>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ascii="仿宋" w:hAnsi="仿宋" w:eastAsia="仿宋"/>
                <w:color w:val="auto"/>
                <w:sz w:val="32"/>
                <w:szCs w:val="32"/>
              </w:rPr>
            </w:pPr>
          </w:p>
        </w:tc>
        <w:tc>
          <w:tcPr>
            <w:tcW w:w="1420" w:type="dxa"/>
            <w:noWrap w:val="0"/>
            <w:vAlign w:val="top"/>
          </w:tcPr>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ascii="仿宋" w:hAnsi="仿宋" w:eastAsia="仿宋"/>
                <w:color w:val="auto"/>
                <w:sz w:val="32"/>
                <w:szCs w:val="32"/>
              </w:rPr>
            </w:pPr>
          </w:p>
        </w:tc>
        <w:tc>
          <w:tcPr>
            <w:tcW w:w="1420" w:type="dxa"/>
            <w:noWrap w:val="0"/>
            <w:vAlign w:val="top"/>
          </w:tcPr>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ascii="仿宋" w:hAnsi="仿宋" w:eastAsia="仿宋"/>
                <w:color w:val="auto"/>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exact"/>
          <w:jc w:val="center"/>
        </w:trPr>
        <w:tc>
          <w:tcPr>
            <w:tcW w:w="1762" w:type="dxa"/>
            <w:noWrap w:val="0"/>
            <w:vAlign w:val="top"/>
          </w:tcPr>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ascii="仿宋" w:hAnsi="仿宋" w:eastAsia="仿宋"/>
                <w:color w:val="auto"/>
                <w:sz w:val="32"/>
                <w:szCs w:val="32"/>
              </w:rPr>
            </w:pPr>
            <w:r>
              <w:rPr>
                <w:rFonts w:hint="eastAsia" w:ascii="仿宋" w:hAnsi="仿宋" w:eastAsia="仿宋"/>
                <w:color w:val="auto"/>
                <w:sz w:val="32"/>
                <w:szCs w:val="32"/>
              </w:rPr>
              <w:t>核磁费</w:t>
            </w:r>
          </w:p>
        </w:tc>
        <w:tc>
          <w:tcPr>
            <w:tcW w:w="1419" w:type="dxa"/>
            <w:noWrap w:val="0"/>
            <w:vAlign w:val="top"/>
          </w:tcPr>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ascii="仿宋" w:hAnsi="仿宋" w:eastAsia="仿宋"/>
                <w:color w:val="auto"/>
                <w:sz w:val="32"/>
                <w:szCs w:val="32"/>
              </w:rPr>
            </w:pPr>
          </w:p>
        </w:tc>
        <w:tc>
          <w:tcPr>
            <w:tcW w:w="1419" w:type="dxa"/>
            <w:noWrap w:val="0"/>
            <w:vAlign w:val="top"/>
          </w:tcPr>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ascii="仿宋" w:hAnsi="仿宋" w:eastAsia="仿宋"/>
                <w:color w:val="auto"/>
                <w:sz w:val="32"/>
                <w:szCs w:val="32"/>
              </w:rPr>
            </w:pPr>
            <w:r>
              <w:rPr>
                <w:rFonts w:hint="eastAsia" w:ascii="仿宋" w:hAnsi="仿宋" w:eastAsia="仿宋"/>
                <w:color w:val="auto"/>
                <w:sz w:val="32"/>
                <w:szCs w:val="32"/>
              </w:rPr>
              <w:t>输血费</w:t>
            </w:r>
          </w:p>
        </w:tc>
        <w:tc>
          <w:tcPr>
            <w:tcW w:w="1419" w:type="dxa"/>
            <w:noWrap w:val="0"/>
            <w:vAlign w:val="top"/>
          </w:tcPr>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ascii="仿宋" w:hAnsi="仿宋" w:eastAsia="仿宋"/>
                <w:color w:val="auto"/>
                <w:sz w:val="32"/>
                <w:szCs w:val="32"/>
              </w:rPr>
            </w:pPr>
          </w:p>
        </w:tc>
        <w:tc>
          <w:tcPr>
            <w:tcW w:w="1420" w:type="dxa"/>
            <w:noWrap w:val="0"/>
            <w:vAlign w:val="top"/>
          </w:tcPr>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ascii="仿宋" w:hAnsi="仿宋" w:eastAsia="仿宋"/>
                <w:color w:val="auto"/>
                <w:sz w:val="32"/>
                <w:szCs w:val="32"/>
              </w:rPr>
            </w:pPr>
          </w:p>
        </w:tc>
        <w:tc>
          <w:tcPr>
            <w:tcW w:w="1420" w:type="dxa"/>
            <w:noWrap w:val="0"/>
            <w:vAlign w:val="top"/>
          </w:tcPr>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ascii="仿宋" w:hAnsi="仿宋" w:eastAsia="仿宋"/>
                <w:color w:val="auto"/>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exact"/>
          <w:jc w:val="center"/>
        </w:trPr>
        <w:tc>
          <w:tcPr>
            <w:tcW w:w="1762" w:type="dxa"/>
            <w:noWrap w:val="0"/>
            <w:vAlign w:val="top"/>
          </w:tcPr>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ascii="仿宋" w:hAnsi="仿宋" w:eastAsia="仿宋"/>
                <w:color w:val="auto"/>
                <w:sz w:val="32"/>
                <w:szCs w:val="32"/>
              </w:rPr>
            </w:pPr>
            <w:r>
              <w:rPr>
                <w:rFonts w:hint="eastAsia" w:ascii="仿宋" w:hAnsi="仿宋" w:eastAsia="仿宋"/>
                <w:color w:val="auto"/>
                <w:sz w:val="32"/>
                <w:szCs w:val="32"/>
              </w:rPr>
              <w:t>CT费</w:t>
            </w:r>
          </w:p>
        </w:tc>
        <w:tc>
          <w:tcPr>
            <w:tcW w:w="1419" w:type="dxa"/>
            <w:noWrap w:val="0"/>
            <w:vAlign w:val="top"/>
          </w:tcPr>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ascii="仿宋" w:hAnsi="仿宋" w:eastAsia="仿宋"/>
                <w:color w:val="auto"/>
                <w:sz w:val="32"/>
                <w:szCs w:val="32"/>
              </w:rPr>
            </w:pPr>
          </w:p>
        </w:tc>
        <w:tc>
          <w:tcPr>
            <w:tcW w:w="1419" w:type="dxa"/>
            <w:noWrap w:val="0"/>
            <w:vAlign w:val="top"/>
          </w:tcPr>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ascii="仿宋" w:hAnsi="仿宋" w:eastAsia="仿宋"/>
                <w:color w:val="auto"/>
                <w:sz w:val="32"/>
                <w:szCs w:val="32"/>
              </w:rPr>
            </w:pPr>
            <w:r>
              <w:rPr>
                <w:rFonts w:hint="eastAsia" w:ascii="仿宋" w:hAnsi="仿宋" w:eastAsia="仿宋"/>
                <w:color w:val="auto"/>
                <w:sz w:val="32"/>
                <w:szCs w:val="32"/>
              </w:rPr>
              <w:t>放射费</w:t>
            </w:r>
          </w:p>
        </w:tc>
        <w:tc>
          <w:tcPr>
            <w:tcW w:w="1419" w:type="dxa"/>
            <w:noWrap w:val="0"/>
            <w:vAlign w:val="top"/>
          </w:tcPr>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ascii="仿宋" w:hAnsi="仿宋" w:eastAsia="仿宋"/>
                <w:color w:val="auto"/>
                <w:sz w:val="32"/>
                <w:szCs w:val="32"/>
              </w:rPr>
            </w:pPr>
          </w:p>
        </w:tc>
        <w:tc>
          <w:tcPr>
            <w:tcW w:w="1420" w:type="dxa"/>
            <w:noWrap w:val="0"/>
            <w:vAlign w:val="top"/>
          </w:tcPr>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ascii="仿宋" w:hAnsi="仿宋" w:eastAsia="仿宋"/>
                <w:color w:val="auto"/>
                <w:sz w:val="32"/>
                <w:szCs w:val="32"/>
              </w:rPr>
            </w:pPr>
          </w:p>
        </w:tc>
        <w:tc>
          <w:tcPr>
            <w:tcW w:w="1420" w:type="dxa"/>
            <w:noWrap w:val="0"/>
            <w:vAlign w:val="top"/>
          </w:tcPr>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ascii="仿宋" w:hAnsi="仿宋" w:eastAsia="仿宋"/>
                <w:color w:val="auto"/>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exact"/>
          <w:jc w:val="center"/>
        </w:trPr>
        <w:tc>
          <w:tcPr>
            <w:tcW w:w="6019" w:type="dxa"/>
            <w:gridSpan w:val="4"/>
            <w:noWrap w:val="0"/>
            <w:vAlign w:val="top"/>
          </w:tcPr>
          <w:p>
            <w:pPr>
              <w:keepNext w:val="0"/>
              <w:keepLines w:val="0"/>
              <w:pageBreakBefore w:val="0"/>
              <w:widowControl w:val="0"/>
              <w:kinsoku/>
              <w:wordWrap/>
              <w:overflowPunct/>
              <w:topLinePunct w:val="0"/>
              <w:autoSpaceDE/>
              <w:autoSpaceDN/>
              <w:bidi w:val="0"/>
              <w:adjustRightInd/>
              <w:snapToGrid/>
              <w:spacing w:line="460" w:lineRule="exact"/>
              <w:jc w:val="left"/>
              <w:textAlignment w:val="auto"/>
              <w:rPr>
                <w:rFonts w:ascii="仿宋" w:hAnsi="仿宋" w:eastAsia="仿宋"/>
                <w:color w:val="auto"/>
                <w:sz w:val="32"/>
                <w:szCs w:val="32"/>
              </w:rPr>
            </w:pPr>
            <w:r>
              <w:rPr>
                <w:rFonts w:hint="eastAsia" w:ascii="仿宋" w:hAnsi="仿宋" w:eastAsia="仿宋"/>
                <w:color w:val="auto"/>
                <w:sz w:val="32"/>
                <w:szCs w:val="32"/>
              </w:rPr>
              <w:t>合计（大写）：</w:t>
            </w:r>
          </w:p>
        </w:tc>
        <w:tc>
          <w:tcPr>
            <w:tcW w:w="2840" w:type="dxa"/>
            <w:gridSpan w:val="2"/>
            <w:noWrap w:val="0"/>
            <w:vAlign w:val="top"/>
          </w:tcPr>
          <w:p>
            <w:pPr>
              <w:keepNext w:val="0"/>
              <w:keepLines w:val="0"/>
              <w:pageBreakBefore w:val="0"/>
              <w:widowControl w:val="0"/>
              <w:kinsoku/>
              <w:wordWrap/>
              <w:overflowPunct/>
              <w:topLinePunct w:val="0"/>
              <w:autoSpaceDE/>
              <w:autoSpaceDN/>
              <w:bidi w:val="0"/>
              <w:adjustRightInd/>
              <w:snapToGrid/>
              <w:spacing w:line="460" w:lineRule="exact"/>
              <w:jc w:val="left"/>
              <w:textAlignment w:val="auto"/>
              <w:rPr>
                <w:rFonts w:ascii="仿宋" w:hAnsi="仿宋" w:eastAsia="仿宋"/>
                <w:color w:val="auto"/>
                <w:sz w:val="32"/>
                <w:szCs w:val="32"/>
              </w:rPr>
            </w:pPr>
            <w:r>
              <w:rPr>
                <w:rFonts w:eastAsia="仿宋"/>
                <w:color w:val="auto"/>
                <w:sz w:val="32"/>
                <w:szCs w:val="32"/>
              </w:rPr>
              <w:t>¥</w:t>
            </w:r>
            <w:r>
              <w:rPr>
                <w:rFonts w:hint="eastAsia" w:ascii="仿宋" w:hAnsi="仿宋" w:eastAsia="仿宋"/>
                <w:color w:val="auto"/>
                <w:sz w:val="32"/>
                <w:szCs w:val="32"/>
              </w:rPr>
              <w:t>：</w:t>
            </w:r>
          </w:p>
        </w:tc>
      </w:tr>
    </w:tbl>
    <w:p>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ascii="仿宋" w:hAnsi="仿宋" w:eastAsia="仿宋"/>
          <w:color w:val="auto"/>
          <w:sz w:val="32"/>
          <w:szCs w:val="32"/>
        </w:rPr>
      </w:pPr>
      <w:r>
        <w:rPr>
          <w:rFonts w:hint="eastAsia" w:ascii="仿宋" w:hAnsi="仿宋" w:eastAsia="仿宋"/>
          <w:color w:val="auto"/>
          <w:sz w:val="32"/>
          <w:szCs w:val="32"/>
        </w:rPr>
        <w:t>定点医疗机构                        定点医疗机构</w:t>
      </w:r>
    </w:p>
    <w:p>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ascii="仿宋" w:hAnsi="仿宋" w:eastAsia="仿宋"/>
          <w:color w:val="auto"/>
          <w:sz w:val="32"/>
          <w:szCs w:val="32"/>
        </w:rPr>
      </w:pPr>
      <w:r>
        <w:rPr>
          <w:rFonts w:hint="eastAsia" w:ascii="仿宋" w:hAnsi="仿宋" w:eastAsia="仿宋"/>
          <w:color w:val="auto"/>
          <w:sz w:val="32"/>
          <w:szCs w:val="32"/>
        </w:rPr>
        <w:t>财务签章：                          医保办签章：</w:t>
      </w:r>
    </w:p>
    <w:p>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仿宋" w:hAnsi="仿宋" w:eastAsia="仿宋"/>
          <w:color w:val="auto"/>
          <w:sz w:val="32"/>
          <w:szCs w:val="32"/>
        </w:rPr>
      </w:pPr>
      <w:r>
        <w:rPr>
          <w:rFonts w:hint="eastAsia" w:ascii="仿宋" w:hAnsi="仿宋" w:eastAsia="仿宋"/>
          <w:color w:val="auto"/>
          <w:sz w:val="32"/>
          <w:szCs w:val="32"/>
        </w:rPr>
        <w:t xml:space="preserve">年    月    日                 </w:t>
      </w:r>
      <w:r>
        <w:rPr>
          <w:rFonts w:hint="eastAsia" w:ascii="仿宋" w:hAnsi="仿宋" w:eastAsia="仿宋"/>
          <w:color w:val="auto"/>
          <w:sz w:val="32"/>
          <w:szCs w:val="32"/>
          <w:lang w:val="en-US" w:eastAsia="zh-CN"/>
        </w:rPr>
        <w:t xml:space="preserve">     </w:t>
      </w:r>
      <w:r>
        <w:rPr>
          <w:rFonts w:hint="eastAsia" w:ascii="仿宋" w:hAnsi="仿宋" w:eastAsia="仿宋"/>
          <w:color w:val="auto"/>
          <w:sz w:val="32"/>
          <w:szCs w:val="32"/>
        </w:rPr>
        <w:t>年    月    日</w:t>
      </w:r>
    </w:p>
    <w:p>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仿宋" w:hAnsi="仿宋" w:eastAsia="仿宋"/>
          <w:color w:val="auto"/>
          <w:sz w:val="32"/>
          <w:szCs w:val="32"/>
        </w:rPr>
      </w:pPr>
      <w:r>
        <w:rPr>
          <w:rFonts w:hint="eastAsia" w:ascii="仿宋" w:hAnsi="仿宋" w:eastAsia="仿宋"/>
          <w:color w:val="auto"/>
          <w:sz w:val="32"/>
          <w:szCs w:val="32"/>
        </w:rPr>
        <w:t>备注：此</w:t>
      </w:r>
      <w:r>
        <w:rPr>
          <w:rFonts w:hint="eastAsia" w:ascii="仿宋" w:hAnsi="仿宋" w:eastAsia="仿宋"/>
          <w:color w:val="auto"/>
          <w:sz w:val="32"/>
          <w:szCs w:val="32"/>
          <w:lang w:eastAsia="zh-CN"/>
        </w:rPr>
        <w:t>单</w:t>
      </w:r>
      <w:r>
        <w:rPr>
          <w:rFonts w:hint="eastAsia" w:ascii="仿宋" w:hAnsi="仿宋" w:eastAsia="仿宋"/>
          <w:color w:val="auto"/>
          <w:sz w:val="32"/>
          <w:szCs w:val="32"/>
        </w:rPr>
        <w:t>一式两联，参保人员、定点医疗机构各执一份。</w:t>
      </w:r>
    </w:p>
    <w:p>
      <w:pPr>
        <w:keepNext w:val="0"/>
        <w:keepLines w:val="0"/>
        <w:pageBreakBefore w:val="0"/>
        <w:kinsoku/>
        <w:wordWrap/>
        <w:overflowPunct/>
        <w:topLinePunct w:val="0"/>
        <w:autoSpaceDE/>
        <w:autoSpaceDN/>
        <w:bidi w:val="0"/>
        <w:snapToGrid/>
        <w:spacing w:line="580" w:lineRule="exact"/>
        <w:textAlignment w:val="auto"/>
        <w:rPr>
          <w:rFonts w:hint="eastAsia"/>
        </w:rPr>
      </w:pPr>
    </w:p>
    <w:p>
      <w:pPr>
        <w:keepNext w:val="0"/>
        <w:keepLines w:val="0"/>
        <w:pageBreakBefore w:val="0"/>
        <w:kinsoku/>
        <w:wordWrap/>
        <w:overflowPunct/>
        <w:topLinePunct w:val="0"/>
        <w:autoSpaceDE/>
        <w:autoSpaceDN/>
        <w:bidi w:val="0"/>
        <w:snapToGrid/>
        <w:spacing w:line="580" w:lineRule="exact"/>
        <w:textAlignment w:val="auto"/>
        <w:rPr>
          <w:rFonts w:hint="eastAsia"/>
        </w:rPr>
      </w:pPr>
    </w:p>
    <w:p>
      <w:pPr>
        <w:keepNext w:val="0"/>
        <w:keepLines w:val="0"/>
        <w:pageBreakBefore w:val="0"/>
        <w:kinsoku/>
        <w:wordWrap/>
        <w:overflowPunct/>
        <w:topLinePunct w:val="0"/>
        <w:autoSpaceDE/>
        <w:autoSpaceDN/>
        <w:bidi w:val="0"/>
        <w:snapToGrid/>
        <w:spacing w:line="580" w:lineRule="exact"/>
        <w:textAlignment w:val="auto"/>
        <w:rPr>
          <w:rFonts w:hint="eastAsia"/>
        </w:rPr>
      </w:pPr>
    </w:p>
    <w:p>
      <w:pPr>
        <w:keepNext w:val="0"/>
        <w:keepLines w:val="0"/>
        <w:pageBreakBefore w:val="0"/>
        <w:kinsoku/>
        <w:wordWrap/>
        <w:overflowPunct/>
        <w:topLinePunct w:val="0"/>
        <w:autoSpaceDE/>
        <w:autoSpaceDN/>
        <w:bidi w:val="0"/>
        <w:snapToGrid/>
        <w:spacing w:line="580" w:lineRule="exact"/>
        <w:textAlignment w:val="auto"/>
        <w:rPr>
          <w:rFonts w:hint="eastAsia"/>
        </w:rPr>
      </w:pPr>
    </w:p>
    <w:p>
      <w:pPr>
        <w:keepNext w:val="0"/>
        <w:keepLines w:val="0"/>
        <w:pageBreakBefore w:val="0"/>
        <w:kinsoku/>
        <w:wordWrap/>
        <w:overflowPunct/>
        <w:topLinePunct w:val="0"/>
        <w:autoSpaceDE/>
        <w:autoSpaceDN/>
        <w:bidi w:val="0"/>
        <w:snapToGrid/>
        <w:spacing w:line="580" w:lineRule="exact"/>
        <w:textAlignment w:val="auto"/>
        <w:rPr>
          <w:rFonts w:hint="eastAsia"/>
        </w:rPr>
      </w:pPr>
    </w:p>
    <w:p>
      <w:pPr>
        <w:keepNext w:val="0"/>
        <w:keepLines w:val="0"/>
        <w:pageBreakBefore w:val="0"/>
        <w:kinsoku/>
        <w:wordWrap/>
        <w:overflowPunct/>
        <w:topLinePunct w:val="0"/>
        <w:autoSpaceDE/>
        <w:autoSpaceDN/>
        <w:bidi w:val="0"/>
        <w:snapToGrid/>
        <w:spacing w:line="580" w:lineRule="exact"/>
        <w:textAlignment w:val="auto"/>
        <w:rPr>
          <w:rFonts w:hint="eastAsia"/>
        </w:rPr>
      </w:pPr>
    </w:p>
    <w:p>
      <w:pPr>
        <w:keepNext w:val="0"/>
        <w:keepLines w:val="0"/>
        <w:pageBreakBefore w:val="0"/>
        <w:kinsoku/>
        <w:wordWrap/>
        <w:overflowPunct/>
        <w:topLinePunct w:val="0"/>
        <w:autoSpaceDE/>
        <w:autoSpaceDN/>
        <w:bidi w:val="0"/>
        <w:snapToGrid/>
        <w:spacing w:line="580" w:lineRule="exact"/>
        <w:textAlignment w:val="auto"/>
        <w:rPr>
          <w:rFonts w:hint="eastAsia"/>
        </w:rPr>
      </w:pPr>
    </w:p>
    <w:p>
      <w:pPr>
        <w:keepNext w:val="0"/>
        <w:keepLines w:val="0"/>
        <w:pageBreakBefore w:val="0"/>
        <w:kinsoku/>
        <w:wordWrap/>
        <w:overflowPunct/>
        <w:topLinePunct w:val="0"/>
        <w:autoSpaceDE/>
        <w:autoSpaceDN/>
        <w:bidi w:val="0"/>
        <w:snapToGrid/>
        <w:spacing w:line="580" w:lineRule="exact"/>
        <w:textAlignment w:val="auto"/>
        <w:rPr>
          <w:rFonts w:hint="eastAsia"/>
        </w:rPr>
      </w:pPr>
    </w:p>
    <w:p>
      <w:pPr>
        <w:keepNext w:val="0"/>
        <w:keepLines w:val="0"/>
        <w:pageBreakBefore w:val="0"/>
        <w:kinsoku/>
        <w:wordWrap/>
        <w:overflowPunct/>
        <w:topLinePunct w:val="0"/>
        <w:autoSpaceDE/>
        <w:autoSpaceDN/>
        <w:bidi w:val="0"/>
        <w:snapToGrid/>
        <w:spacing w:line="580" w:lineRule="exact"/>
        <w:textAlignment w:val="auto"/>
        <w:rPr>
          <w:rFonts w:hint="eastAsia"/>
        </w:rPr>
      </w:pPr>
    </w:p>
    <w:p>
      <w:pPr>
        <w:keepNext w:val="0"/>
        <w:keepLines w:val="0"/>
        <w:pageBreakBefore w:val="0"/>
        <w:kinsoku/>
        <w:wordWrap/>
        <w:overflowPunct/>
        <w:topLinePunct w:val="0"/>
        <w:autoSpaceDE/>
        <w:autoSpaceDN/>
        <w:bidi w:val="0"/>
        <w:snapToGrid/>
        <w:spacing w:line="580" w:lineRule="exact"/>
        <w:textAlignment w:val="auto"/>
        <w:rPr>
          <w:rFonts w:hint="eastAsia"/>
        </w:rPr>
      </w:pPr>
    </w:p>
    <w:p>
      <w:pPr>
        <w:keepNext w:val="0"/>
        <w:keepLines w:val="0"/>
        <w:pageBreakBefore w:val="0"/>
        <w:kinsoku/>
        <w:wordWrap/>
        <w:overflowPunct/>
        <w:topLinePunct w:val="0"/>
        <w:autoSpaceDE/>
        <w:autoSpaceDN/>
        <w:bidi w:val="0"/>
        <w:snapToGrid/>
        <w:spacing w:line="580" w:lineRule="exact"/>
        <w:textAlignment w:val="auto"/>
        <w:rPr>
          <w:rFonts w:hint="eastAsia"/>
        </w:rPr>
      </w:pPr>
    </w:p>
    <w:p>
      <w:pPr>
        <w:keepNext w:val="0"/>
        <w:keepLines w:val="0"/>
        <w:pageBreakBefore w:val="0"/>
        <w:kinsoku/>
        <w:wordWrap/>
        <w:overflowPunct/>
        <w:topLinePunct w:val="0"/>
        <w:autoSpaceDE/>
        <w:autoSpaceDN/>
        <w:bidi w:val="0"/>
        <w:snapToGrid/>
        <w:spacing w:line="580" w:lineRule="exact"/>
        <w:textAlignment w:val="auto"/>
        <w:rPr>
          <w:rFonts w:hint="eastAsia"/>
        </w:rPr>
      </w:pPr>
    </w:p>
    <w:p>
      <w:pPr>
        <w:keepNext w:val="0"/>
        <w:keepLines w:val="0"/>
        <w:pageBreakBefore w:val="0"/>
        <w:kinsoku/>
        <w:wordWrap/>
        <w:overflowPunct/>
        <w:topLinePunct w:val="0"/>
        <w:autoSpaceDE/>
        <w:autoSpaceDN/>
        <w:bidi w:val="0"/>
        <w:snapToGrid/>
        <w:spacing w:line="580" w:lineRule="exact"/>
        <w:textAlignment w:val="auto"/>
        <w:rPr>
          <w:rFonts w:hint="eastAsia"/>
        </w:rPr>
      </w:pPr>
    </w:p>
    <w:p>
      <w:pPr>
        <w:keepNext w:val="0"/>
        <w:keepLines w:val="0"/>
        <w:pageBreakBefore w:val="0"/>
        <w:kinsoku/>
        <w:wordWrap/>
        <w:overflowPunct/>
        <w:topLinePunct w:val="0"/>
        <w:autoSpaceDE/>
        <w:autoSpaceDN/>
        <w:bidi w:val="0"/>
        <w:snapToGrid/>
        <w:spacing w:line="580" w:lineRule="exact"/>
        <w:textAlignment w:val="auto"/>
        <w:rPr>
          <w:rFonts w:hint="eastAsia"/>
        </w:rPr>
      </w:pPr>
    </w:p>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rPr>
      </w:pPr>
    </w:p>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rPr>
      </w:pPr>
    </w:p>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rPr>
      </w:pPr>
    </w:p>
    <w:tbl>
      <w:tblPr>
        <w:tblStyle w:val="11"/>
        <w:tblpPr w:leftFromText="180" w:rightFromText="180" w:vertAnchor="text" w:horzAnchor="page" w:tblpX="1570" w:tblpY="799"/>
        <w:tblOverlap w:val="never"/>
        <w:tblW w:w="8955" w:type="dxa"/>
        <w:tblInd w:w="0" w:type="dxa"/>
        <w:tblBorders>
          <w:top w:val="single" w:color="auto" w:sz="8" w:space="0"/>
          <w:left w:val="none" w:color="auto" w:sz="0" w:space="0"/>
          <w:bottom w:val="single" w:color="auto" w:sz="8"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8955"/>
      </w:tblGrid>
      <w:tr>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c>
          <w:tcPr>
            <w:tcW w:w="8955" w:type="dxa"/>
            <w:noWrap w:val="0"/>
            <w:vAlign w:val="top"/>
          </w:tcPr>
          <w:p>
            <w:pPr>
              <w:keepNext w:val="0"/>
              <w:keepLines w:val="0"/>
              <w:pageBreakBefore w:val="0"/>
              <w:widowControl w:val="0"/>
              <w:kinsoku/>
              <w:wordWrap/>
              <w:overflowPunct/>
              <w:topLinePunct w:val="0"/>
              <w:autoSpaceDE/>
              <w:autoSpaceDN/>
              <w:bidi w:val="0"/>
              <w:adjustRightInd/>
              <w:snapToGrid/>
              <w:spacing w:line="440" w:lineRule="exact"/>
              <w:ind w:firstLine="280" w:firstLineChars="100"/>
              <w:textAlignment w:val="auto"/>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抄送：自治区党委各部门，内蒙古军区，武警内蒙古总队。</w:t>
            </w:r>
          </w:p>
          <w:p>
            <w:pPr>
              <w:keepNext w:val="0"/>
              <w:keepLines w:val="0"/>
              <w:pageBreakBefore w:val="0"/>
              <w:widowControl w:val="0"/>
              <w:kinsoku/>
              <w:wordWrap/>
              <w:overflowPunct/>
              <w:topLinePunct w:val="0"/>
              <w:autoSpaceDE/>
              <w:autoSpaceDN/>
              <w:bidi w:val="0"/>
              <w:adjustRightInd/>
              <w:snapToGrid/>
              <w:spacing w:line="440" w:lineRule="exact"/>
              <w:ind w:left="1084" w:leftChars="516" w:firstLine="28" w:firstLineChars="10"/>
              <w:textAlignment w:val="auto"/>
              <w:rPr>
                <w:rFonts w:hint="eastAsia" w:ascii="方正仿宋_GBK" w:hAnsi="方正仿宋_GBK" w:eastAsia="方正仿宋_GBK" w:cs="方正仿宋_GBK"/>
                <w:sz w:val="28"/>
                <w:szCs w:val="28"/>
                <w:lang w:eastAsia="zh-CN"/>
              </w:rPr>
            </w:pPr>
            <w:r>
              <w:rPr>
                <w:rFonts w:hint="eastAsia" w:ascii="方正仿宋_GBK" w:hAnsi="方正仿宋_GBK" w:eastAsia="方正仿宋_GBK" w:cs="方正仿宋_GBK"/>
                <w:sz w:val="28"/>
                <w:szCs w:val="28"/>
              </w:rPr>
              <w:t>自治区人大常委会办公厅、政协办公厅，自治区监委，</w:t>
            </w:r>
            <w:r>
              <w:rPr>
                <w:rFonts w:hint="eastAsia" w:ascii="方正仿宋_GBK" w:hAnsi="方正仿宋_GBK" w:eastAsia="方正仿宋_GBK" w:cs="方正仿宋_GBK"/>
                <w:sz w:val="28"/>
                <w:szCs w:val="28"/>
                <w:lang w:eastAsia="zh-CN"/>
              </w:rPr>
              <w:t>自治区</w:t>
            </w:r>
          </w:p>
          <w:p>
            <w:pPr>
              <w:keepNext w:val="0"/>
              <w:keepLines w:val="0"/>
              <w:pageBreakBefore w:val="0"/>
              <w:widowControl w:val="0"/>
              <w:kinsoku/>
              <w:wordWrap/>
              <w:overflowPunct/>
              <w:topLinePunct w:val="0"/>
              <w:autoSpaceDE/>
              <w:autoSpaceDN/>
              <w:bidi w:val="0"/>
              <w:adjustRightInd/>
              <w:snapToGrid/>
              <w:spacing w:line="440" w:lineRule="exact"/>
              <w:ind w:left="1084" w:leftChars="516" w:firstLine="28" w:firstLineChars="10"/>
              <w:textAlignment w:val="auto"/>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高级人民法院，检察院。</w:t>
            </w:r>
          </w:p>
          <w:p>
            <w:pPr>
              <w:keepNext w:val="0"/>
              <w:keepLines w:val="0"/>
              <w:pageBreakBefore w:val="0"/>
              <w:widowControl w:val="0"/>
              <w:kinsoku/>
              <w:wordWrap/>
              <w:overflowPunct/>
              <w:topLinePunct w:val="0"/>
              <w:autoSpaceDE/>
              <w:autoSpaceDN/>
              <w:bidi w:val="0"/>
              <w:adjustRightInd/>
              <w:snapToGrid/>
              <w:spacing w:line="440" w:lineRule="exact"/>
              <w:ind w:firstLine="1120" w:firstLineChars="400"/>
              <w:textAlignment w:val="auto"/>
              <w:rPr>
                <w:rFonts w:ascii="仿宋_GB2312" w:eastAsia="仿宋_GB2312"/>
                <w:sz w:val="28"/>
              </w:rPr>
            </w:pPr>
            <w:r>
              <w:rPr>
                <w:rFonts w:hint="eastAsia" w:ascii="方正仿宋_GBK" w:hAnsi="方正仿宋_GBK" w:eastAsia="方正仿宋_GBK" w:cs="方正仿宋_GBK"/>
                <w:sz w:val="28"/>
                <w:szCs w:val="28"/>
              </w:rPr>
              <w:t>各人民团体，新闻单位。</w:t>
            </w:r>
          </w:p>
        </w:tc>
      </w:tr>
      <w:tr>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c>
          <w:tcPr>
            <w:tcW w:w="8955" w:type="dxa"/>
            <w:noWrap w:val="0"/>
            <w:vAlign w:val="top"/>
          </w:tcPr>
          <w:p>
            <w:pPr>
              <w:ind w:firstLine="280" w:firstLineChars="100"/>
              <w:rPr>
                <w:rFonts w:ascii="仿宋_GB2312" w:eastAsia="仿宋_GB2312"/>
                <w:sz w:val="28"/>
              </w:rPr>
            </w:pPr>
            <w:r>
              <w:rPr>
                <w:rFonts w:hint="eastAsia" w:ascii="仿宋_GB2312" w:eastAsia="仿宋_GB2312"/>
                <w:sz w:val="28"/>
              </w:rPr>
              <w:t xml:space="preserve">内蒙古自治区人民政府办公厅文电处       </w:t>
            </w:r>
            <w:r>
              <w:rPr>
                <w:rFonts w:hint="eastAsia" w:ascii="仿宋_GB2312" w:eastAsia="仿宋_GB2312"/>
                <w:sz w:val="28"/>
                <w:lang w:val="en-US" w:eastAsia="zh-CN"/>
              </w:rPr>
              <w:t xml:space="preserve"> </w:t>
            </w:r>
            <w:r>
              <w:rPr>
                <w:rFonts w:hint="eastAsia" w:ascii="仿宋_GB2312" w:eastAsia="仿宋_GB2312"/>
                <w:sz w:val="28"/>
              </w:rPr>
              <w:t>202</w:t>
            </w:r>
            <w:r>
              <w:rPr>
                <w:rFonts w:hint="eastAsia" w:ascii="仿宋_GB2312" w:eastAsia="仿宋_GB2312"/>
                <w:sz w:val="28"/>
                <w:lang w:val="en-US" w:eastAsia="zh-CN"/>
              </w:rPr>
              <w:t>3</w:t>
            </w:r>
            <w:r>
              <w:rPr>
                <w:rFonts w:hint="eastAsia" w:ascii="仿宋_GB2312" w:eastAsia="仿宋_GB2312"/>
                <w:sz w:val="28"/>
              </w:rPr>
              <w:t>年</w:t>
            </w:r>
            <w:r>
              <w:rPr>
                <w:rFonts w:hint="eastAsia" w:ascii="仿宋_GB2312" w:eastAsia="仿宋_GB2312"/>
                <w:sz w:val="28"/>
                <w:lang w:val="en-US" w:eastAsia="zh-CN"/>
              </w:rPr>
              <w:t>1</w:t>
            </w:r>
            <w:r>
              <w:rPr>
                <w:rFonts w:hint="eastAsia" w:ascii="仿宋_GB2312" w:eastAsia="仿宋_GB2312"/>
                <w:sz w:val="28"/>
              </w:rPr>
              <w:t>月</w:t>
            </w:r>
            <w:r>
              <w:rPr>
                <w:rFonts w:hint="eastAsia" w:ascii="仿宋_GB2312" w:eastAsia="仿宋_GB2312"/>
                <w:sz w:val="28"/>
                <w:lang w:val="en-US" w:eastAsia="zh-CN"/>
              </w:rPr>
              <w:t>13</w:t>
            </w:r>
            <w:r>
              <w:rPr>
                <w:rFonts w:hint="eastAsia" w:ascii="仿宋_GB2312" w:eastAsia="仿宋_GB2312"/>
                <w:sz w:val="28"/>
              </w:rPr>
              <w:t>日印发</w:t>
            </w:r>
          </w:p>
        </w:tc>
      </w:tr>
    </w:tbl>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lang w:eastAsia="zh-CN"/>
        </w:rPr>
      </w:pPr>
      <w:r>
        <w:rPr>
          <w:sz w:val="28"/>
        </w:rPr>
        <mc:AlternateContent>
          <mc:Choice Requires="wps">
            <w:drawing>
              <wp:anchor distT="0" distB="0" distL="114300" distR="114300" simplePos="0" relativeHeight="251658240" behindDoc="0" locked="0" layoutInCell="1" allowOverlap="1">
                <wp:simplePos x="0" y="0"/>
                <wp:positionH relativeFrom="column">
                  <wp:posOffset>4724400</wp:posOffset>
                </wp:positionH>
                <wp:positionV relativeFrom="paragraph">
                  <wp:posOffset>2205990</wp:posOffset>
                </wp:positionV>
                <wp:extent cx="1360170" cy="408940"/>
                <wp:effectExtent l="4445" t="4445" r="6985" b="5715"/>
                <wp:wrapNone/>
                <wp:docPr id="1" name="矩形 5"/>
                <wp:cNvGraphicFramePr/>
                <a:graphic xmlns:a="http://schemas.openxmlformats.org/drawingml/2006/main">
                  <a:graphicData uri="http://schemas.microsoft.com/office/word/2010/wordprocessingShape">
                    <wps:wsp>
                      <wps:cNvSpPr/>
                      <wps:spPr>
                        <a:xfrm>
                          <a:off x="0" y="0"/>
                          <a:ext cx="1360170" cy="408940"/>
                        </a:xfrm>
                        <a:prstGeom prst="rect">
                          <a:avLst/>
                        </a:prstGeom>
                        <a:solidFill>
                          <a:srgbClr val="FFFFFF"/>
                        </a:solidFill>
                        <a:ln w="9525" cap="flat" cmpd="sng">
                          <a:solidFill>
                            <a:srgbClr val="FFFFFF"/>
                          </a:solidFill>
                          <a:prstDash val="solid"/>
                          <a:miter/>
                          <a:headEnd type="none" w="med" len="med"/>
                          <a:tailEnd type="none" w="med" len="med"/>
                        </a:ln>
                      </wps:spPr>
                      <wps:bodyPr vert="horz" wrap="square" anchor="t" anchorCtr="0" upright="1"/>
                    </wps:wsp>
                  </a:graphicData>
                </a:graphic>
              </wp:anchor>
            </w:drawing>
          </mc:Choice>
          <mc:Fallback>
            <w:pict>
              <v:rect id="矩形 5" o:spid="_x0000_s1026" o:spt="1" style="position:absolute;left:0pt;margin-left:372pt;margin-top:173.7pt;height:32.2pt;width:107.1pt;z-index:251658240;mso-width-relative:page;mso-height-relative:page;" fillcolor="#FFFFFF" filled="t" stroked="t" coordsize="21600,21600" o:gfxdata="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BZep/C2QAAAAsBAAAPAAAAAAAAAAEAIAAAACIAAABkcnMvZG93bnJl&#10;di54bWxQSwECFAAUAAAACACHTuJAknvsc/wBAAADBAAADgAAAAAAAAABACAAAAAoAQAAZHJzL2Uy&#10;b0RvYy54bWxQSwUGAAAAAAYABgBZAQAAlgUAAAAA&#10;">
                <v:fill on="t" focussize="0,0"/>
                <v:stroke color="#FFFFFF" joinstyle="miter"/>
                <v:imagedata o:title=""/>
                <o:lock v:ext="edit" aspectratio="f"/>
              </v:rect>
            </w:pict>
          </mc:Fallback>
        </mc:AlternateContent>
      </w:r>
    </w:p>
    <w:sectPr>
      <w:headerReference r:id="rId3" w:type="default"/>
      <w:footerReference r:id="rId5" w:type="default"/>
      <w:headerReference r:id="rId4" w:type="even"/>
      <w:footerReference r:id="rId6" w:type="even"/>
      <w:pgSz w:w="11906" w:h="16838"/>
      <w:pgMar w:top="2098" w:right="1474" w:bottom="1701" w:left="1474" w:header="851" w:footer="1417" w:gutter="0"/>
      <w:paperSrc/>
      <w:pgNumType w:fmt="numberInDash"/>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1" w:usb1="080E0000" w:usb2="00000000" w:usb3="00000000" w:csb0="00040000" w:csb1="00000000"/>
  </w:font>
  <w:font w:name="Mongolian Baiti">
    <w:panose1 w:val="03000500000000000000"/>
    <w:charset w:val="00"/>
    <w:family w:val="script"/>
    <w:pitch w:val="default"/>
    <w:sig w:usb0="80000023" w:usb1="00000000" w:usb2="00020000" w:usb3="00000000" w:csb0="00000001" w:csb1="00000000"/>
  </w:font>
  <w:font w:name="华文仿宋">
    <w:altName w:val="方正仿宋_GBK"/>
    <w:panose1 w:val="02010600040101010101"/>
    <w:charset w:val="00"/>
    <w:family w:val="auto"/>
    <w:pitch w:val="default"/>
    <w:sig w:usb0="00000287" w:usb1="080F0000" w:usb2="00000000" w:usb3="00000000" w:csb0="0004009F" w:csb1="DFD70000"/>
  </w:font>
  <w:font w:name="楷体_GB2312">
    <w:altName w:val="楷体"/>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Tahoma">
    <w:panose1 w:val="020B0604030504040204"/>
    <w:charset w:val="00"/>
    <w:family w:val="auto"/>
    <w:pitch w:val="default"/>
    <w:sig w:usb0="E1002EFF" w:usb1="C000605B" w:usb2="00000029" w:usb3="00000000" w:csb0="200101FF" w:csb1="20280000"/>
  </w:font>
  <w:font w:name="方正仿宋_GBK">
    <w:panose1 w:val="03000509000000000000"/>
    <w:charset w:val="86"/>
    <w:family w:val="script"/>
    <w:pitch w:val="default"/>
    <w:sig w:usb0="00000001" w:usb1="080E0000" w:usb2="00000000" w:usb3="00000000" w:csb0="00040000" w:csb1="00000000"/>
  </w:font>
  <w:font w:name="方正黑体_GBK">
    <w:altName w:val="微软雅黑"/>
    <w:panose1 w:val="02000000000000000000"/>
    <w:charset w:val="86"/>
    <w:family w:val="auto"/>
    <w:pitch w:val="default"/>
    <w:sig w:usb0="A00002BF" w:usb1="38CF7CFA" w:usb2="00082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framePr w:wrap="around" w:vAnchor="text" w:hAnchor="page" w:x="9452" w:y="-23"/>
      <w:rPr>
        <w:rStyle w:val="14"/>
        <w:rFonts w:hint="eastAsia" w:ascii="宋体" w:hAnsi="宋体"/>
        <w:sz w:val="28"/>
        <w:szCs w:val="28"/>
      </w:rPr>
    </w:pPr>
    <w:r>
      <w:rPr>
        <w:rFonts w:hint="eastAsia" w:ascii="宋体" w:hAnsi="宋体"/>
        <w:sz w:val="28"/>
        <w:szCs w:val="28"/>
      </w:rPr>
      <w:fldChar w:fldCharType="begin"/>
    </w:r>
    <w:r>
      <w:rPr>
        <w:rStyle w:val="14"/>
        <w:rFonts w:hint="eastAsia" w:ascii="宋体" w:hAnsi="宋体"/>
        <w:sz w:val="28"/>
        <w:szCs w:val="28"/>
      </w:rPr>
      <w:instrText xml:space="preserve">PAGE  </w:instrText>
    </w:r>
    <w:r>
      <w:rPr>
        <w:rFonts w:hint="eastAsia" w:ascii="宋体" w:hAnsi="宋体"/>
        <w:sz w:val="28"/>
        <w:szCs w:val="28"/>
      </w:rPr>
      <w:fldChar w:fldCharType="separate"/>
    </w:r>
    <w:r>
      <w:rPr>
        <w:rStyle w:val="14"/>
        <w:rFonts w:ascii="宋体" w:hAnsi="宋体"/>
        <w:sz w:val="28"/>
        <w:szCs w:val="28"/>
        <w:lang/>
      </w:rPr>
      <w:t>- 1 -</w:t>
    </w:r>
    <w:r>
      <w:rPr>
        <w:rFonts w:hint="eastAsia" w:ascii="宋体" w:hAnsi="宋体"/>
        <w:sz w:val="28"/>
        <w:szCs w:val="28"/>
      </w:rPr>
      <w:fldChar w:fldCharType="end"/>
    </w:r>
  </w:p>
  <w:p>
    <w:pPr>
      <w:pStyle w:val="8"/>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framePr w:wrap="around" w:vAnchor="text" w:hAnchor="page" w:x="1892" w:y="-23"/>
      <w:rPr>
        <w:rStyle w:val="14"/>
        <w:rFonts w:ascii="宋体" w:hAnsi="宋体"/>
        <w:sz w:val="28"/>
        <w:szCs w:val="28"/>
      </w:rPr>
    </w:pPr>
    <w:r>
      <w:rPr>
        <w:rFonts w:ascii="宋体" w:hAnsi="宋体"/>
        <w:sz w:val="28"/>
        <w:szCs w:val="28"/>
      </w:rPr>
      <w:fldChar w:fldCharType="begin"/>
    </w:r>
    <w:r>
      <w:rPr>
        <w:rStyle w:val="14"/>
        <w:rFonts w:ascii="宋体" w:hAnsi="宋体"/>
        <w:sz w:val="28"/>
        <w:szCs w:val="28"/>
      </w:rPr>
      <w:instrText xml:space="preserve">PAGE  </w:instrText>
    </w:r>
    <w:r>
      <w:rPr>
        <w:rFonts w:ascii="宋体" w:hAnsi="宋体"/>
        <w:sz w:val="28"/>
        <w:szCs w:val="28"/>
      </w:rPr>
      <w:fldChar w:fldCharType="separate"/>
    </w:r>
    <w:r>
      <w:rPr>
        <w:rStyle w:val="14"/>
        <w:rFonts w:ascii="宋体" w:hAnsi="宋体"/>
        <w:sz w:val="28"/>
        <w:szCs w:val="28"/>
        <w:lang/>
      </w:rPr>
      <w:t>- 2 -</w:t>
    </w:r>
    <w:r>
      <w:rPr>
        <w:rFonts w:ascii="宋体" w:hAnsi="宋体"/>
        <w:sz w:val="28"/>
        <w:szCs w:val="28"/>
      </w:rPr>
      <w:fldChar w:fldCharType="end"/>
    </w:r>
  </w:p>
  <w:p>
    <w:pPr>
      <w:pStyle w:val="8"/>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evenAndOddHeaders w:val="1"/>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23FAB0F"/>
    <w:rsid w:val="0000053B"/>
    <w:rsid w:val="00000BC8"/>
    <w:rsid w:val="00000D35"/>
    <w:rsid w:val="00000E8A"/>
    <w:rsid w:val="00001A5E"/>
    <w:rsid w:val="0001025F"/>
    <w:rsid w:val="00010E72"/>
    <w:rsid w:val="00010FBD"/>
    <w:rsid w:val="000134B5"/>
    <w:rsid w:val="0001572E"/>
    <w:rsid w:val="0001671F"/>
    <w:rsid w:val="0001751F"/>
    <w:rsid w:val="00017973"/>
    <w:rsid w:val="00017C56"/>
    <w:rsid w:val="00017C8E"/>
    <w:rsid w:val="00021290"/>
    <w:rsid w:val="000228A4"/>
    <w:rsid w:val="00024FC9"/>
    <w:rsid w:val="00025291"/>
    <w:rsid w:val="0003004C"/>
    <w:rsid w:val="000305B6"/>
    <w:rsid w:val="00031020"/>
    <w:rsid w:val="00036CC9"/>
    <w:rsid w:val="00037A1D"/>
    <w:rsid w:val="0004119F"/>
    <w:rsid w:val="00041495"/>
    <w:rsid w:val="00043109"/>
    <w:rsid w:val="00043BA4"/>
    <w:rsid w:val="00045126"/>
    <w:rsid w:val="00047737"/>
    <w:rsid w:val="0005120B"/>
    <w:rsid w:val="00053149"/>
    <w:rsid w:val="00055C21"/>
    <w:rsid w:val="00056556"/>
    <w:rsid w:val="00060597"/>
    <w:rsid w:val="00060CE0"/>
    <w:rsid w:val="000615CF"/>
    <w:rsid w:val="0006347A"/>
    <w:rsid w:val="000671EE"/>
    <w:rsid w:val="00070196"/>
    <w:rsid w:val="000701C3"/>
    <w:rsid w:val="00071DE3"/>
    <w:rsid w:val="00071E83"/>
    <w:rsid w:val="0007324B"/>
    <w:rsid w:val="00074623"/>
    <w:rsid w:val="00076F96"/>
    <w:rsid w:val="00082970"/>
    <w:rsid w:val="0008397E"/>
    <w:rsid w:val="00090E87"/>
    <w:rsid w:val="00090EB2"/>
    <w:rsid w:val="00097E64"/>
    <w:rsid w:val="000A1E68"/>
    <w:rsid w:val="000A2307"/>
    <w:rsid w:val="000A26F8"/>
    <w:rsid w:val="000A3DA4"/>
    <w:rsid w:val="000A51DB"/>
    <w:rsid w:val="000A7F88"/>
    <w:rsid w:val="000B0241"/>
    <w:rsid w:val="000B182B"/>
    <w:rsid w:val="000B2C2B"/>
    <w:rsid w:val="000B318D"/>
    <w:rsid w:val="000B483E"/>
    <w:rsid w:val="000B76CD"/>
    <w:rsid w:val="000D1918"/>
    <w:rsid w:val="000D2276"/>
    <w:rsid w:val="000D46E6"/>
    <w:rsid w:val="000D4B7C"/>
    <w:rsid w:val="000E189F"/>
    <w:rsid w:val="000E242A"/>
    <w:rsid w:val="000E2DE0"/>
    <w:rsid w:val="000E4A4D"/>
    <w:rsid w:val="000E5531"/>
    <w:rsid w:val="000E6931"/>
    <w:rsid w:val="000F0166"/>
    <w:rsid w:val="000F1D11"/>
    <w:rsid w:val="000F3390"/>
    <w:rsid w:val="000F3786"/>
    <w:rsid w:val="000F3C60"/>
    <w:rsid w:val="000F7B4B"/>
    <w:rsid w:val="00100F1E"/>
    <w:rsid w:val="00104732"/>
    <w:rsid w:val="00104FB1"/>
    <w:rsid w:val="001106F2"/>
    <w:rsid w:val="00110B09"/>
    <w:rsid w:val="0011191E"/>
    <w:rsid w:val="001147E4"/>
    <w:rsid w:val="00114AC4"/>
    <w:rsid w:val="00114FD2"/>
    <w:rsid w:val="001166E7"/>
    <w:rsid w:val="00117691"/>
    <w:rsid w:val="0012067D"/>
    <w:rsid w:val="00120FA6"/>
    <w:rsid w:val="00121523"/>
    <w:rsid w:val="00121A80"/>
    <w:rsid w:val="0012298D"/>
    <w:rsid w:val="00122EA1"/>
    <w:rsid w:val="00124296"/>
    <w:rsid w:val="001243C4"/>
    <w:rsid w:val="0012798F"/>
    <w:rsid w:val="00127D04"/>
    <w:rsid w:val="001303D3"/>
    <w:rsid w:val="001316F8"/>
    <w:rsid w:val="00132688"/>
    <w:rsid w:val="00132E64"/>
    <w:rsid w:val="001332BC"/>
    <w:rsid w:val="001340AD"/>
    <w:rsid w:val="0013461A"/>
    <w:rsid w:val="00137385"/>
    <w:rsid w:val="00140625"/>
    <w:rsid w:val="00142107"/>
    <w:rsid w:val="00145C0B"/>
    <w:rsid w:val="00145D2E"/>
    <w:rsid w:val="00146D53"/>
    <w:rsid w:val="00147907"/>
    <w:rsid w:val="00151C4B"/>
    <w:rsid w:val="00151F28"/>
    <w:rsid w:val="00153017"/>
    <w:rsid w:val="00155A0E"/>
    <w:rsid w:val="001602EE"/>
    <w:rsid w:val="001608F4"/>
    <w:rsid w:val="0016554C"/>
    <w:rsid w:val="00166461"/>
    <w:rsid w:val="0016715A"/>
    <w:rsid w:val="001679C2"/>
    <w:rsid w:val="00170824"/>
    <w:rsid w:val="0017273F"/>
    <w:rsid w:val="00172ABF"/>
    <w:rsid w:val="00173AA9"/>
    <w:rsid w:val="00177B68"/>
    <w:rsid w:val="00180CF8"/>
    <w:rsid w:val="00182DBF"/>
    <w:rsid w:val="00183AA6"/>
    <w:rsid w:val="001844AF"/>
    <w:rsid w:val="00184638"/>
    <w:rsid w:val="00187037"/>
    <w:rsid w:val="00194319"/>
    <w:rsid w:val="001948D4"/>
    <w:rsid w:val="00197198"/>
    <w:rsid w:val="001A0A30"/>
    <w:rsid w:val="001A102B"/>
    <w:rsid w:val="001A2BD2"/>
    <w:rsid w:val="001A3639"/>
    <w:rsid w:val="001A72B0"/>
    <w:rsid w:val="001B2E25"/>
    <w:rsid w:val="001B36FF"/>
    <w:rsid w:val="001B6A85"/>
    <w:rsid w:val="001C21AB"/>
    <w:rsid w:val="001C291D"/>
    <w:rsid w:val="001C2E2C"/>
    <w:rsid w:val="001C2FB0"/>
    <w:rsid w:val="001C3230"/>
    <w:rsid w:val="001C4131"/>
    <w:rsid w:val="001C472D"/>
    <w:rsid w:val="001D0ADB"/>
    <w:rsid w:val="001D2A39"/>
    <w:rsid w:val="001D2EC2"/>
    <w:rsid w:val="001D3381"/>
    <w:rsid w:val="001D38D9"/>
    <w:rsid w:val="001D42FD"/>
    <w:rsid w:val="001D50C7"/>
    <w:rsid w:val="001D62F3"/>
    <w:rsid w:val="001E1712"/>
    <w:rsid w:val="001E3AE1"/>
    <w:rsid w:val="001E4564"/>
    <w:rsid w:val="001E463E"/>
    <w:rsid w:val="001E48FC"/>
    <w:rsid w:val="001E51E8"/>
    <w:rsid w:val="001E5A4A"/>
    <w:rsid w:val="001F077E"/>
    <w:rsid w:val="001F275C"/>
    <w:rsid w:val="001F4B62"/>
    <w:rsid w:val="001F53DE"/>
    <w:rsid w:val="002014F1"/>
    <w:rsid w:val="002016DC"/>
    <w:rsid w:val="00202305"/>
    <w:rsid w:val="002037DD"/>
    <w:rsid w:val="00203FE2"/>
    <w:rsid w:val="00205C6F"/>
    <w:rsid w:val="002112BA"/>
    <w:rsid w:val="00211B40"/>
    <w:rsid w:val="0021430F"/>
    <w:rsid w:val="0022010B"/>
    <w:rsid w:val="00222BE8"/>
    <w:rsid w:val="00225BC5"/>
    <w:rsid w:val="00226765"/>
    <w:rsid w:val="002301CC"/>
    <w:rsid w:val="00230DF7"/>
    <w:rsid w:val="00233CA4"/>
    <w:rsid w:val="00237D8D"/>
    <w:rsid w:val="00243573"/>
    <w:rsid w:val="002438BD"/>
    <w:rsid w:val="00244F58"/>
    <w:rsid w:val="002502FA"/>
    <w:rsid w:val="002508F6"/>
    <w:rsid w:val="00253497"/>
    <w:rsid w:val="00253505"/>
    <w:rsid w:val="002537D8"/>
    <w:rsid w:val="00253D8D"/>
    <w:rsid w:val="00254C91"/>
    <w:rsid w:val="0026009A"/>
    <w:rsid w:val="00260B18"/>
    <w:rsid w:val="00261C1B"/>
    <w:rsid w:val="00263BB4"/>
    <w:rsid w:val="00264B5A"/>
    <w:rsid w:val="00265F33"/>
    <w:rsid w:val="002701FE"/>
    <w:rsid w:val="00271599"/>
    <w:rsid w:val="002750B4"/>
    <w:rsid w:val="002755E6"/>
    <w:rsid w:val="00277086"/>
    <w:rsid w:val="0027732C"/>
    <w:rsid w:val="00284880"/>
    <w:rsid w:val="00286092"/>
    <w:rsid w:val="00290135"/>
    <w:rsid w:val="00294F4F"/>
    <w:rsid w:val="0029606D"/>
    <w:rsid w:val="002973C7"/>
    <w:rsid w:val="002A0CAD"/>
    <w:rsid w:val="002A32E1"/>
    <w:rsid w:val="002A3E00"/>
    <w:rsid w:val="002A5246"/>
    <w:rsid w:val="002A64B4"/>
    <w:rsid w:val="002A67EB"/>
    <w:rsid w:val="002A7BF8"/>
    <w:rsid w:val="002B0F91"/>
    <w:rsid w:val="002B4292"/>
    <w:rsid w:val="002B4C83"/>
    <w:rsid w:val="002C0358"/>
    <w:rsid w:val="002C048B"/>
    <w:rsid w:val="002C1222"/>
    <w:rsid w:val="002C2F22"/>
    <w:rsid w:val="002C409D"/>
    <w:rsid w:val="002C41C0"/>
    <w:rsid w:val="002C4FC3"/>
    <w:rsid w:val="002C5B09"/>
    <w:rsid w:val="002D063C"/>
    <w:rsid w:val="002D2CF6"/>
    <w:rsid w:val="002D31DC"/>
    <w:rsid w:val="002D3F3C"/>
    <w:rsid w:val="002D4032"/>
    <w:rsid w:val="002D5A5E"/>
    <w:rsid w:val="002D7462"/>
    <w:rsid w:val="002E0919"/>
    <w:rsid w:val="002E2F22"/>
    <w:rsid w:val="002E3CC3"/>
    <w:rsid w:val="002F5BA9"/>
    <w:rsid w:val="00301AC3"/>
    <w:rsid w:val="00302690"/>
    <w:rsid w:val="00302982"/>
    <w:rsid w:val="00303418"/>
    <w:rsid w:val="00316104"/>
    <w:rsid w:val="00317237"/>
    <w:rsid w:val="00321960"/>
    <w:rsid w:val="00322E30"/>
    <w:rsid w:val="00324C04"/>
    <w:rsid w:val="003340DF"/>
    <w:rsid w:val="00334343"/>
    <w:rsid w:val="003347A0"/>
    <w:rsid w:val="00336F88"/>
    <w:rsid w:val="00340FF0"/>
    <w:rsid w:val="00341A6E"/>
    <w:rsid w:val="00342CC3"/>
    <w:rsid w:val="00343E0C"/>
    <w:rsid w:val="00344DA3"/>
    <w:rsid w:val="00350F9A"/>
    <w:rsid w:val="00351987"/>
    <w:rsid w:val="00351F4C"/>
    <w:rsid w:val="00352A64"/>
    <w:rsid w:val="0035334E"/>
    <w:rsid w:val="003557E4"/>
    <w:rsid w:val="00361A29"/>
    <w:rsid w:val="0036715B"/>
    <w:rsid w:val="00367E4A"/>
    <w:rsid w:val="00371465"/>
    <w:rsid w:val="0037414E"/>
    <w:rsid w:val="0037427E"/>
    <w:rsid w:val="00375606"/>
    <w:rsid w:val="00381A7A"/>
    <w:rsid w:val="00385438"/>
    <w:rsid w:val="003878A5"/>
    <w:rsid w:val="00390619"/>
    <w:rsid w:val="00390C49"/>
    <w:rsid w:val="0039202C"/>
    <w:rsid w:val="00392B94"/>
    <w:rsid w:val="00393F4B"/>
    <w:rsid w:val="00394377"/>
    <w:rsid w:val="003948FC"/>
    <w:rsid w:val="003978C8"/>
    <w:rsid w:val="003A0463"/>
    <w:rsid w:val="003A0C24"/>
    <w:rsid w:val="003A2485"/>
    <w:rsid w:val="003A264D"/>
    <w:rsid w:val="003A31A0"/>
    <w:rsid w:val="003A326C"/>
    <w:rsid w:val="003A3696"/>
    <w:rsid w:val="003A42FA"/>
    <w:rsid w:val="003A5841"/>
    <w:rsid w:val="003A6755"/>
    <w:rsid w:val="003B1AA3"/>
    <w:rsid w:val="003B32B0"/>
    <w:rsid w:val="003B59D9"/>
    <w:rsid w:val="003C1EB9"/>
    <w:rsid w:val="003C3249"/>
    <w:rsid w:val="003C3EA0"/>
    <w:rsid w:val="003C419C"/>
    <w:rsid w:val="003C41EC"/>
    <w:rsid w:val="003C4942"/>
    <w:rsid w:val="003D01EF"/>
    <w:rsid w:val="003D14CC"/>
    <w:rsid w:val="003D3B34"/>
    <w:rsid w:val="003D46AE"/>
    <w:rsid w:val="003E323B"/>
    <w:rsid w:val="003E39D4"/>
    <w:rsid w:val="003E549A"/>
    <w:rsid w:val="003E5A89"/>
    <w:rsid w:val="003F0B67"/>
    <w:rsid w:val="003F1F24"/>
    <w:rsid w:val="003F595E"/>
    <w:rsid w:val="003F6574"/>
    <w:rsid w:val="003F6E09"/>
    <w:rsid w:val="003F728E"/>
    <w:rsid w:val="00402EDB"/>
    <w:rsid w:val="004100FD"/>
    <w:rsid w:val="0041232A"/>
    <w:rsid w:val="004125FC"/>
    <w:rsid w:val="00412AD9"/>
    <w:rsid w:val="00415492"/>
    <w:rsid w:val="004178C8"/>
    <w:rsid w:val="00423C35"/>
    <w:rsid w:val="004278D4"/>
    <w:rsid w:val="00430D45"/>
    <w:rsid w:val="00431DA3"/>
    <w:rsid w:val="00432A0C"/>
    <w:rsid w:val="00433DE5"/>
    <w:rsid w:val="00437A54"/>
    <w:rsid w:val="00442031"/>
    <w:rsid w:val="004443C8"/>
    <w:rsid w:val="0044481F"/>
    <w:rsid w:val="004454F7"/>
    <w:rsid w:val="00450079"/>
    <w:rsid w:val="004504E7"/>
    <w:rsid w:val="0045373C"/>
    <w:rsid w:val="00453C0B"/>
    <w:rsid w:val="00456071"/>
    <w:rsid w:val="00456737"/>
    <w:rsid w:val="00456A72"/>
    <w:rsid w:val="00456A79"/>
    <w:rsid w:val="00461EDE"/>
    <w:rsid w:val="004638A8"/>
    <w:rsid w:val="00470220"/>
    <w:rsid w:val="00471E78"/>
    <w:rsid w:val="0047252B"/>
    <w:rsid w:val="00472C32"/>
    <w:rsid w:val="00472D58"/>
    <w:rsid w:val="00473996"/>
    <w:rsid w:val="0047592F"/>
    <w:rsid w:val="004767E9"/>
    <w:rsid w:val="00476AF1"/>
    <w:rsid w:val="00477EF4"/>
    <w:rsid w:val="004823A5"/>
    <w:rsid w:val="00484559"/>
    <w:rsid w:val="004852B6"/>
    <w:rsid w:val="004854B1"/>
    <w:rsid w:val="004876D3"/>
    <w:rsid w:val="004909BB"/>
    <w:rsid w:val="0049197F"/>
    <w:rsid w:val="00493DD9"/>
    <w:rsid w:val="00496CF3"/>
    <w:rsid w:val="00496D57"/>
    <w:rsid w:val="004A135E"/>
    <w:rsid w:val="004A373F"/>
    <w:rsid w:val="004A464E"/>
    <w:rsid w:val="004A4859"/>
    <w:rsid w:val="004B0832"/>
    <w:rsid w:val="004B1D23"/>
    <w:rsid w:val="004B5CC9"/>
    <w:rsid w:val="004B72BC"/>
    <w:rsid w:val="004C0FC4"/>
    <w:rsid w:val="004C1246"/>
    <w:rsid w:val="004C1EC2"/>
    <w:rsid w:val="004C4F15"/>
    <w:rsid w:val="004C61B8"/>
    <w:rsid w:val="004C7700"/>
    <w:rsid w:val="004D028D"/>
    <w:rsid w:val="004D3D71"/>
    <w:rsid w:val="004D4FBD"/>
    <w:rsid w:val="004E1031"/>
    <w:rsid w:val="004E16F4"/>
    <w:rsid w:val="004E2788"/>
    <w:rsid w:val="004E28A4"/>
    <w:rsid w:val="004E3E2A"/>
    <w:rsid w:val="004E441F"/>
    <w:rsid w:val="004F0E59"/>
    <w:rsid w:val="004F1A93"/>
    <w:rsid w:val="004F27DA"/>
    <w:rsid w:val="004F29A2"/>
    <w:rsid w:val="004F2EAE"/>
    <w:rsid w:val="004F2FDA"/>
    <w:rsid w:val="004F49DE"/>
    <w:rsid w:val="004F4C83"/>
    <w:rsid w:val="004F564A"/>
    <w:rsid w:val="004F6088"/>
    <w:rsid w:val="0050055F"/>
    <w:rsid w:val="00501A8E"/>
    <w:rsid w:val="00502983"/>
    <w:rsid w:val="005045F2"/>
    <w:rsid w:val="0051102B"/>
    <w:rsid w:val="0051110B"/>
    <w:rsid w:val="00513E02"/>
    <w:rsid w:val="005141F0"/>
    <w:rsid w:val="00514727"/>
    <w:rsid w:val="0051691A"/>
    <w:rsid w:val="005216DB"/>
    <w:rsid w:val="00522BE1"/>
    <w:rsid w:val="00525134"/>
    <w:rsid w:val="00527055"/>
    <w:rsid w:val="00527860"/>
    <w:rsid w:val="005302E8"/>
    <w:rsid w:val="00537C60"/>
    <w:rsid w:val="005403BB"/>
    <w:rsid w:val="00540508"/>
    <w:rsid w:val="00541462"/>
    <w:rsid w:val="00545692"/>
    <w:rsid w:val="00547939"/>
    <w:rsid w:val="0055006E"/>
    <w:rsid w:val="005528A4"/>
    <w:rsid w:val="0055343F"/>
    <w:rsid w:val="005538B1"/>
    <w:rsid w:val="005570A3"/>
    <w:rsid w:val="00557BB6"/>
    <w:rsid w:val="005617E0"/>
    <w:rsid w:val="005618EC"/>
    <w:rsid w:val="005623D2"/>
    <w:rsid w:val="0056793D"/>
    <w:rsid w:val="00570476"/>
    <w:rsid w:val="005758B0"/>
    <w:rsid w:val="0057593B"/>
    <w:rsid w:val="005761DA"/>
    <w:rsid w:val="00576B9B"/>
    <w:rsid w:val="005775A5"/>
    <w:rsid w:val="00577A94"/>
    <w:rsid w:val="00577CD6"/>
    <w:rsid w:val="00581C4B"/>
    <w:rsid w:val="005820C9"/>
    <w:rsid w:val="00582F58"/>
    <w:rsid w:val="005847C1"/>
    <w:rsid w:val="005903E6"/>
    <w:rsid w:val="005906A6"/>
    <w:rsid w:val="00590E74"/>
    <w:rsid w:val="00593B63"/>
    <w:rsid w:val="005A1F8D"/>
    <w:rsid w:val="005A6087"/>
    <w:rsid w:val="005A67BB"/>
    <w:rsid w:val="005A740E"/>
    <w:rsid w:val="005B0120"/>
    <w:rsid w:val="005B0BCC"/>
    <w:rsid w:val="005B2090"/>
    <w:rsid w:val="005B2A3B"/>
    <w:rsid w:val="005B2A9E"/>
    <w:rsid w:val="005B2AFE"/>
    <w:rsid w:val="005B39F8"/>
    <w:rsid w:val="005B3F4F"/>
    <w:rsid w:val="005C2B4E"/>
    <w:rsid w:val="005C5E3B"/>
    <w:rsid w:val="005C663F"/>
    <w:rsid w:val="005C79E2"/>
    <w:rsid w:val="005D07B3"/>
    <w:rsid w:val="005D1611"/>
    <w:rsid w:val="005E0DCD"/>
    <w:rsid w:val="005E5234"/>
    <w:rsid w:val="005E7F3F"/>
    <w:rsid w:val="005F38E6"/>
    <w:rsid w:val="005F6CAA"/>
    <w:rsid w:val="00602DE5"/>
    <w:rsid w:val="0060451F"/>
    <w:rsid w:val="006049B5"/>
    <w:rsid w:val="006054BF"/>
    <w:rsid w:val="0060556C"/>
    <w:rsid w:val="00605FB9"/>
    <w:rsid w:val="006077DA"/>
    <w:rsid w:val="00613495"/>
    <w:rsid w:val="006138A9"/>
    <w:rsid w:val="00616699"/>
    <w:rsid w:val="006217C9"/>
    <w:rsid w:val="006217CD"/>
    <w:rsid w:val="00622118"/>
    <w:rsid w:val="00622A7A"/>
    <w:rsid w:val="00623F3E"/>
    <w:rsid w:val="00626C25"/>
    <w:rsid w:val="00632581"/>
    <w:rsid w:val="0063404D"/>
    <w:rsid w:val="00637C57"/>
    <w:rsid w:val="00640710"/>
    <w:rsid w:val="00642967"/>
    <w:rsid w:val="00643C82"/>
    <w:rsid w:val="00655583"/>
    <w:rsid w:val="00657A43"/>
    <w:rsid w:val="00660860"/>
    <w:rsid w:val="00660BC7"/>
    <w:rsid w:val="0066177F"/>
    <w:rsid w:val="00661FD1"/>
    <w:rsid w:val="006631A6"/>
    <w:rsid w:val="006635EA"/>
    <w:rsid w:val="0066581C"/>
    <w:rsid w:val="00670F37"/>
    <w:rsid w:val="00674510"/>
    <w:rsid w:val="0067548C"/>
    <w:rsid w:val="0068029A"/>
    <w:rsid w:val="00684358"/>
    <w:rsid w:val="00686D4F"/>
    <w:rsid w:val="00687BC5"/>
    <w:rsid w:val="00691763"/>
    <w:rsid w:val="0069233D"/>
    <w:rsid w:val="006A28D5"/>
    <w:rsid w:val="006A3076"/>
    <w:rsid w:val="006A3B57"/>
    <w:rsid w:val="006A4BE5"/>
    <w:rsid w:val="006A55AD"/>
    <w:rsid w:val="006A65EF"/>
    <w:rsid w:val="006C492D"/>
    <w:rsid w:val="006C6369"/>
    <w:rsid w:val="006D2826"/>
    <w:rsid w:val="006D44DF"/>
    <w:rsid w:val="006D582C"/>
    <w:rsid w:val="006D6106"/>
    <w:rsid w:val="006E16EF"/>
    <w:rsid w:val="006E58B8"/>
    <w:rsid w:val="006E628F"/>
    <w:rsid w:val="006E7D08"/>
    <w:rsid w:val="006F0642"/>
    <w:rsid w:val="006F069F"/>
    <w:rsid w:val="006F0977"/>
    <w:rsid w:val="006F19A2"/>
    <w:rsid w:val="006F320A"/>
    <w:rsid w:val="006F4AF1"/>
    <w:rsid w:val="006F6C03"/>
    <w:rsid w:val="006F793B"/>
    <w:rsid w:val="006F7A1E"/>
    <w:rsid w:val="007014BE"/>
    <w:rsid w:val="00704458"/>
    <w:rsid w:val="0070677A"/>
    <w:rsid w:val="00707093"/>
    <w:rsid w:val="00707748"/>
    <w:rsid w:val="00707A12"/>
    <w:rsid w:val="007103AB"/>
    <w:rsid w:val="007107BA"/>
    <w:rsid w:val="00710CE7"/>
    <w:rsid w:val="007227D3"/>
    <w:rsid w:val="00730BED"/>
    <w:rsid w:val="007327B6"/>
    <w:rsid w:val="00737112"/>
    <w:rsid w:val="007375F9"/>
    <w:rsid w:val="007377CC"/>
    <w:rsid w:val="007418CF"/>
    <w:rsid w:val="007443AD"/>
    <w:rsid w:val="00745BA7"/>
    <w:rsid w:val="00745F2F"/>
    <w:rsid w:val="007469D2"/>
    <w:rsid w:val="0075198B"/>
    <w:rsid w:val="007543DE"/>
    <w:rsid w:val="007566F0"/>
    <w:rsid w:val="00760780"/>
    <w:rsid w:val="00763624"/>
    <w:rsid w:val="0076441E"/>
    <w:rsid w:val="0076657F"/>
    <w:rsid w:val="00774B22"/>
    <w:rsid w:val="00777A09"/>
    <w:rsid w:val="007837F3"/>
    <w:rsid w:val="007904A7"/>
    <w:rsid w:val="00794C4E"/>
    <w:rsid w:val="007963A2"/>
    <w:rsid w:val="007A6F05"/>
    <w:rsid w:val="007B097B"/>
    <w:rsid w:val="007B6642"/>
    <w:rsid w:val="007C5CDC"/>
    <w:rsid w:val="007C6DEF"/>
    <w:rsid w:val="007C7C36"/>
    <w:rsid w:val="007D1C46"/>
    <w:rsid w:val="007D340E"/>
    <w:rsid w:val="007D5A8A"/>
    <w:rsid w:val="007D62CA"/>
    <w:rsid w:val="007D66C2"/>
    <w:rsid w:val="007D765B"/>
    <w:rsid w:val="007E0BFD"/>
    <w:rsid w:val="007E158B"/>
    <w:rsid w:val="007E20CA"/>
    <w:rsid w:val="007F042D"/>
    <w:rsid w:val="007F0737"/>
    <w:rsid w:val="007F0940"/>
    <w:rsid w:val="007F19AC"/>
    <w:rsid w:val="007F1E62"/>
    <w:rsid w:val="007F24F6"/>
    <w:rsid w:val="007F2A0D"/>
    <w:rsid w:val="007F2A7E"/>
    <w:rsid w:val="007F552B"/>
    <w:rsid w:val="007F63EC"/>
    <w:rsid w:val="00800C47"/>
    <w:rsid w:val="00803F1B"/>
    <w:rsid w:val="008056A7"/>
    <w:rsid w:val="00805852"/>
    <w:rsid w:val="00805B22"/>
    <w:rsid w:val="00810805"/>
    <w:rsid w:val="00810F55"/>
    <w:rsid w:val="00811A91"/>
    <w:rsid w:val="00814958"/>
    <w:rsid w:val="008149CF"/>
    <w:rsid w:val="00816CA5"/>
    <w:rsid w:val="00817FC3"/>
    <w:rsid w:val="00823E54"/>
    <w:rsid w:val="00824A4E"/>
    <w:rsid w:val="008254E7"/>
    <w:rsid w:val="0083477F"/>
    <w:rsid w:val="00837152"/>
    <w:rsid w:val="00837596"/>
    <w:rsid w:val="00840886"/>
    <w:rsid w:val="008408A0"/>
    <w:rsid w:val="00846E88"/>
    <w:rsid w:val="008501A5"/>
    <w:rsid w:val="00854ADE"/>
    <w:rsid w:val="008576F0"/>
    <w:rsid w:val="00857C89"/>
    <w:rsid w:val="00857FE1"/>
    <w:rsid w:val="008611F2"/>
    <w:rsid w:val="0086125A"/>
    <w:rsid w:val="00861E1F"/>
    <w:rsid w:val="00861EE2"/>
    <w:rsid w:val="00862598"/>
    <w:rsid w:val="00864151"/>
    <w:rsid w:val="00865C0D"/>
    <w:rsid w:val="00867F1E"/>
    <w:rsid w:val="008707CA"/>
    <w:rsid w:val="00871650"/>
    <w:rsid w:val="00872A55"/>
    <w:rsid w:val="00873542"/>
    <w:rsid w:val="00880C71"/>
    <w:rsid w:val="0088117B"/>
    <w:rsid w:val="00882531"/>
    <w:rsid w:val="0088714E"/>
    <w:rsid w:val="00887FA5"/>
    <w:rsid w:val="008926B7"/>
    <w:rsid w:val="0089561E"/>
    <w:rsid w:val="008A0590"/>
    <w:rsid w:val="008B063A"/>
    <w:rsid w:val="008B066F"/>
    <w:rsid w:val="008B2878"/>
    <w:rsid w:val="008B2A80"/>
    <w:rsid w:val="008B4122"/>
    <w:rsid w:val="008B534E"/>
    <w:rsid w:val="008B536E"/>
    <w:rsid w:val="008B5F79"/>
    <w:rsid w:val="008B61CE"/>
    <w:rsid w:val="008C2242"/>
    <w:rsid w:val="008C2FFC"/>
    <w:rsid w:val="008C3D85"/>
    <w:rsid w:val="008D2512"/>
    <w:rsid w:val="008D3423"/>
    <w:rsid w:val="008D416F"/>
    <w:rsid w:val="008D6580"/>
    <w:rsid w:val="008E1E2A"/>
    <w:rsid w:val="008E277B"/>
    <w:rsid w:val="008E3748"/>
    <w:rsid w:val="008E45DE"/>
    <w:rsid w:val="008E765D"/>
    <w:rsid w:val="008F733C"/>
    <w:rsid w:val="00904292"/>
    <w:rsid w:val="00910626"/>
    <w:rsid w:val="00910AC9"/>
    <w:rsid w:val="0091236B"/>
    <w:rsid w:val="009135EF"/>
    <w:rsid w:val="009150AA"/>
    <w:rsid w:val="009167EA"/>
    <w:rsid w:val="00916E26"/>
    <w:rsid w:val="00917CF5"/>
    <w:rsid w:val="009203AD"/>
    <w:rsid w:val="00920BA7"/>
    <w:rsid w:val="00921D50"/>
    <w:rsid w:val="00923ABF"/>
    <w:rsid w:val="009257CF"/>
    <w:rsid w:val="00926D34"/>
    <w:rsid w:val="00926E93"/>
    <w:rsid w:val="00927FAF"/>
    <w:rsid w:val="0093066E"/>
    <w:rsid w:val="00930C66"/>
    <w:rsid w:val="00933AD4"/>
    <w:rsid w:val="00935D37"/>
    <w:rsid w:val="00936389"/>
    <w:rsid w:val="00940633"/>
    <w:rsid w:val="009413D6"/>
    <w:rsid w:val="009418C7"/>
    <w:rsid w:val="00942DC2"/>
    <w:rsid w:val="009433EF"/>
    <w:rsid w:val="00943770"/>
    <w:rsid w:val="0094465F"/>
    <w:rsid w:val="00947975"/>
    <w:rsid w:val="00956CA1"/>
    <w:rsid w:val="00957FC8"/>
    <w:rsid w:val="0096020A"/>
    <w:rsid w:val="00960DBD"/>
    <w:rsid w:val="00960E8B"/>
    <w:rsid w:val="009618C6"/>
    <w:rsid w:val="0096652B"/>
    <w:rsid w:val="00967743"/>
    <w:rsid w:val="009700AC"/>
    <w:rsid w:val="00970E4B"/>
    <w:rsid w:val="0097162D"/>
    <w:rsid w:val="0097473C"/>
    <w:rsid w:val="00974D3A"/>
    <w:rsid w:val="0097594A"/>
    <w:rsid w:val="00977B8C"/>
    <w:rsid w:val="00980419"/>
    <w:rsid w:val="00980D23"/>
    <w:rsid w:val="00983562"/>
    <w:rsid w:val="00985E2D"/>
    <w:rsid w:val="00990379"/>
    <w:rsid w:val="0099164F"/>
    <w:rsid w:val="00994467"/>
    <w:rsid w:val="00994538"/>
    <w:rsid w:val="00995057"/>
    <w:rsid w:val="0099782D"/>
    <w:rsid w:val="00997D7A"/>
    <w:rsid w:val="009A323D"/>
    <w:rsid w:val="009A4D6E"/>
    <w:rsid w:val="009A54A9"/>
    <w:rsid w:val="009B0F62"/>
    <w:rsid w:val="009B4126"/>
    <w:rsid w:val="009B4573"/>
    <w:rsid w:val="009B5ABF"/>
    <w:rsid w:val="009B6906"/>
    <w:rsid w:val="009B7AF2"/>
    <w:rsid w:val="009B7E26"/>
    <w:rsid w:val="009C0CFE"/>
    <w:rsid w:val="009C323E"/>
    <w:rsid w:val="009C3D15"/>
    <w:rsid w:val="009D16DF"/>
    <w:rsid w:val="009D1830"/>
    <w:rsid w:val="009D1AC9"/>
    <w:rsid w:val="009D1DF7"/>
    <w:rsid w:val="009D3B7A"/>
    <w:rsid w:val="009D417C"/>
    <w:rsid w:val="009D455E"/>
    <w:rsid w:val="009E41F1"/>
    <w:rsid w:val="009E6969"/>
    <w:rsid w:val="009F13D4"/>
    <w:rsid w:val="009F14F1"/>
    <w:rsid w:val="009F1CFB"/>
    <w:rsid w:val="009F1DFF"/>
    <w:rsid w:val="009F35D0"/>
    <w:rsid w:val="009F3B9B"/>
    <w:rsid w:val="009F5A1E"/>
    <w:rsid w:val="009F69BD"/>
    <w:rsid w:val="009F69DB"/>
    <w:rsid w:val="009F6E0B"/>
    <w:rsid w:val="00A0130C"/>
    <w:rsid w:val="00A013CD"/>
    <w:rsid w:val="00A027F4"/>
    <w:rsid w:val="00A0337F"/>
    <w:rsid w:val="00A055DB"/>
    <w:rsid w:val="00A0595F"/>
    <w:rsid w:val="00A12557"/>
    <w:rsid w:val="00A12B15"/>
    <w:rsid w:val="00A1338D"/>
    <w:rsid w:val="00A156FF"/>
    <w:rsid w:val="00A15728"/>
    <w:rsid w:val="00A15F73"/>
    <w:rsid w:val="00A1646A"/>
    <w:rsid w:val="00A17257"/>
    <w:rsid w:val="00A1771F"/>
    <w:rsid w:val="00A17737"/>
    <w:rsid w:val="00A206AD"/>
    <w:rsid w:val="00A21826"/>
    <w:rsid w:val="00A223A7"/>
    <w:rsid w:val="00A22CDE"/>
    <w:rsid w:val="00A22ED2"/>
    <w:rsid w:val="00A23026"/>
    <w:rsid w:val="00A23044"/>
    <w:rsid w:val="00A26DD8"/>
    <w:rsid w:val="00A3282B"/>
    <w:rsid w:val="00A3667B"/>
    <w:rsid w:val="00A41CDE"/>
    <w:rsid w:val="00A42678"/>
    <w:rsid w:val="00A44782"/>
    <w:rsid w:val="00A51056"/>
    <w:rsid w:val="00A52ADA"/>
    <w:rsid w:val="00A54A96"/>
    <w:rsid w:val="00A54C2D"/>
    <w:rsid w:val="00A55F01"/>
    <w:rsid w:val="00A5779D"/>
    <w:rsid w:val="00A62053"/>
    <w:rsid w:val="00A66B95"/>
    <w:rsid w:val="00A67E61"/>
    <w:rsid w:val="00A746B2"/>
    <w:rsid w:val="00A74FC4"/>
    <w:rsid w:val="00A8034A"/>
    <w:rsid w:val="00A81344"/>
    <w:rsid w:val="00A8144C"/>
    <w:rsid w:val="00A82198"/>
    <w:rsid w:val="00A85729"/>
    <w:rsid w:val="00A869B9"/>
    <w:rsid w:val="00A871E1"/>
    <w:rsid w:val="00A872AA"/>
    <w:rsid w:val="00A87303"/>
    <w:rsid w:val="00A925C8"/>
    <w:rsid w:val="00A93C26"/>
    <w:rsid w:val="00A9486C"/>
    <w:rsid w:val="00A94FB8"/>
    <w:rsid w:val="00A96790"/>
    <w:rsid w:val="00AA07BD"/>
    <w:rsid w:val="00AA3212"/>
    <w:rsid w:val="00AA3545"/>
    <w:rsid w:val="00AA4BD1"/>
    <w:rsid w:val="00AB27A7"/>
    <w:rsid w:val="00AB301E"/>
    <w:rsid w:val="00AB38D9"/>
    <w:rsid w:val="00AB7DAC"/>
    <w:rsid w:val="00AC1974"/>
    <w:rsid w:val="00AC2132"/>
    <w:rsid w:val="00AC4D0F"/>
    <w:rsid w:val="00AC6193"/>
    <w:rsid w:val="00AC685E"/>
    <w:rsid w:val="00AD04B0"/>
    <w:rsid w:val="00AD0907"/>
    <w:rsid w:val="00AD29ED"/>
    <w:rsid w:val="00AD5212"/>
    <w:rsid w:val="00AD57D5"/>
    <w:rsid w:val="00AE14C5"/>
    <w:rsid w:val="00AE36EC"/>
    <w:rsid w:val="00AE43B0"/>
    <w:rsid w:val="00AE4C6F"/>
    <w:rsid w:val="00AE5AAD"/>
    <w:rsid w:val="00AE5CC0"/>
    <w:rsid w:val="00AE688F"/>
    <w:rsid w:val="00AF0A6F"/>
    <w:rsid w:val="00AF2682"/>
    <w:rsid w:val="00AF31FA"/>
    <w:rsid w:val="00AF375F"/>
    <w:rsid w:val="00AF400E"/>
    <w:rsid w:val="00AF4411"/>
    <w:rsid w:val="00AF51A3"/>
    <w:rsid w:val="00AF53DE"/>
    <w:rsid w:val="00AF6933"/>
    <w:rsid w:val="00AF7027"/>
    <w:rsid w:val="00B00D15"/>
    <w:rsid w:val="00B041F1"/>
    <w:rsid w:val="00B05A19"/>
    <w:rsid w:val="00B05C1E"/>
    <w:rsid w:val="00B0602B"/>
    <w:rsid w:val="00B065B9"/>
    <w:rsid w:val="00B07A9F"/>
    <w:rsid w:val="00B12051"/>
    <w:rsid w:val="00B1350C"/>
    <w:rsid w:val="00B13789"/>
    <w:rsid w:val="00B15D33"/>
    <w:rsid w:val="00B162C3"/>
    <w:rsid w:val="00B22EA7"/>
    <w:rsid w:val="00B246E2"/>
    <w:rsid w:val="00B269DB"/>
    <w:rsid w:val="00B332D7"/>
    <w:rsid w:val="00B3342A"/>
    <w:rsid w:val="00B40DCF"/>
    <w:rsid w:val="00B41574"/>
    <w:rsid w:val="00B43C7B"/>
    <w:rsid w:val="00B4489A"/>
    <w:rsid w:val="00B4656E"/>
    <w:rsid w:val="00B47AB4"/>
    <w:rsid w:val="00B509ED"/>
    <w:rsid w:val="00B5388B"/>
    <w:rsid w:val="00B54162"/>
    <w:rsid w:val="00B542D3"/>
    <w:rsid w:val="00B560B0"/>
    <w:rsid w:val="00B56A1E"/>
    <w:rsid w:val="00B57284"/>
    <w:rsid w:val="00B6035B"/>
    <w:rsid w:val="00B64E58"/>
    <w:rsid w:val="00B666ED"/>
    <w:rsid w:val="00B70DED"/>
    <w:rsid w:val="00B7317D"/>
    <w:rsid w:val="00B73533"/>
    <w:rsid w:val="00B73E35"/>
    <w:rsid w:val="00B76556"/>
    <w:rsid w:val="00B836D5"/>
    <w:rsid w:val="00B840AB"/>
    <w:rsid w:val="00B84FE0"/>
    <w:rsid w:val="00B90C4D"/>
    <w:rsid w:val="00B92C79"/>
    <w:rsid w:val="00B952EB"/>
    <w:rsid w:val="00B96270"/>
    <w:rsid w:val="00B97680"/>
    <w:rsid w:val="00BA069E"/>
    <w:rsid w:val="00BA0EAF"/>
    <w:rsid w:val="00BA12FD"/>
    <w:rsid w:val="00BA5DE0"/>
    <w:rsid w:val="00BA69BB"/>
    <w:rsid w:val="00BA7956"/>
    <w:rsid w:val="00BA7B67"/>
    <w:rsid w:val="00BB143A"/>
    <w:rsid w:val="00BB77ED"/>
    <w:rsid w:val="00BC07D9"/>
    <w:rsid w:val="00BC0F68"/>
    <w:rsid w:val="00BC5ACB"/>
    <w:rsid w:val="00BD0A62"/>
    <w:rsid w:val="00BD0B0A"/>
    <w:rsid w:val="00BD156F"/>
    <w:rsid w:val="00BD1AAA"/>
    <w:rsid w:val="00BD3403"/>
    <w:rsid w:val="00BD3778"/>
    <w:rsid w:val="00BD384E"/>
    <w:rsid w:val="00BD6CB8"/>
    <w:rsid w:val="00BE03FB"/>
    <w:rsid w:val="00BE1A66"/>
    <w:rsid w:val="00BE25B8"/>
    <w:rsid w:val="00BE472B"/>
    <w:rsid w:val="00BE5150"/>
    <w:rsid w:val="00BE5638"/>
    <w:rsid w:val="00BF04ED"/>
    <w:rsid w:val="00BF37DC"/>
    <w:rsid w:val="00BF60EE"/>
    <w:rsid w:val="00BF7550"/>
    <w:rsid w:val="00C0138E"/>
    <w:rsid w:val="00C023A4"/>
    <w:rsid w:val="00C03B39"/>
    <w:rsid w:val="00C03DAB"/>
    <w:rsid w:val="00C0403E"/>
    <w:rsid w:val="00C05D5F"/>
    <w:rsid w:val="00C062CC"/>
    <w:rsid w:val="00C06C13"/>
    <w:rsid w:val="00C076E1"/>
    <w:rsid w:val="00C10609"/>
    <w:rsid w:val="00C1296E"/>
    <w:rsid w:val="00C168B8"/>
    <w:rsid w:val="00C16B94"/>
    <w:rsid w:val="00C2004B"/>
    <w:rsid w:val="00C22AFA"/>
    <w:rsid w:val="00C24A34"/>
    <w:rsid w:val="00C275DE"/>
    <w:rsid w:val="00C344E7"/>
    <w:rsid w:val="00C34C2B"/>
    <w:rsid w:val="00C471EE"/>
    <w:rsid w:val="00C5090D"/>
    <w:rsid w:val="00C516A1"/>
    <w:rsid w:val="00C531FF"/>
    <w:rsid w:val="00C53663"/>
    <w:rsid w:val="00C543E3"/>
    <w:rsid w:val="00C54463"/>
    <w:rsid w:val="00C625FA"/>
    <w:rsid w:val="00C644C7"/>
    <w:rsid w:val="00C659D0"/>
    <w:rsid w:val="00C65F9B"/>
    <w:rsid w:val="00C66A8C"/>
    <w:rsid w:val="00C67DA4"/>
    <w:rsid w:val="00C70168"/>
    <w:rsid w:val="00C70F21"/>
    <w:rsid w:val="00C71935"/>
    <w:rsid w:val="00C72875"/>
    <w:rsid w:val="00C72993"/>
    <w:rsid w:val="00C757DA"/>
    <w:rsid w:val="00C77A95"/>
    <w:rsid w:val="00C80569"/>
    <w:rsid w:val="00C81A60"/>
    <w:rsid w:val="00C82864"/>
    <w:rsid w:val="00C86D95"/>
    <w:rsid w:val="00C903C3"/>
    <w:rsid w:val="00C9086C"/>
    <w:rsid w:val="00C91FF9"/>
    <w:rsid w:val="00C92F43"/>
    <w:rsid w:val="00C944E5"/>
    <w:rsid w:val="00C96FC0"/>
    <w:rsid w:val="00CA30D7"/>
    <w:rsid w:val="00CA4F90"/>
    <w:rsid w:val="00CB3AE8"/>
    <w:rsid w:val="00CB3EA3"/>
    <w:rsid w:val="00CB5D2C"/>
    <w:rsid w:val="00CC14E4"/>
    <w:rsid w:val="00CC2443"/>
    <w:rsid w:val="00CD1675"/>
    <w:rsid w:val="00CD399D"/>
    <w:rsid w:val="00CD4642"/>
    <w:rsid w:val="00CD5308"/>
    <w:rsid w:val="00CE2266"/>
    <w:rsid w:val="00CE5E6E"/>
    <w:rsid w:val="00CE618F"/>
    <w:rsid w:val="00CE6508"/>
    <w:rsid w:val="00CF77E7"/>
    <w:rsid w:val="00CF7E4F"/>
    <w:rsid w:val="00D023FE"/>
    <w:rsid w:val="00D0487F"/>
    <w:rsid w:val="00D101F0"/>
    <w:rsid w:val="00D1209D"/>
    <w:rsid w:val="00D122FC"/>
    <w:rsid w:val="00D13AEB"/>
    <w:rsid w:val="00D14674"/>
    <w:rsid w:val="00D14BFB"/>
    <w:rsid w:val="00D178DE"/>
    <w:rsid w:val="00D202DB"/>
    <w:rsid w:val="00D21A57"/>
    <w:rsid w:val="00D2210B"/>
    <w:rsid w:val="00D222CE"/>
    <w:rsid w:val="00D252DC"/>
    <w:rsid w:val="00D3737D"/>
    <w:rsid w:val="00D37406"/>
    <w:rsid w:val="00D377BF"/>
    <w:rsid w:val="00D4207E"/>
    <w:rsid w:val="00D44386"/>
    <w:rsid w:val="00D444F3"/>
    <w:rsid w:val="00D4554B"/>
    <w:rsid w:val="00D530AF"/>
    <w:rsid w:val="00D54B07"/>
    <w:rsid w:val="00D55776"/>
    <w:rsid w:val="00D60772"/>
    <w:rsid w:val="00D60B47"/>
    <w:rsid w:val="00D616FD"/>
    <w:rsid w:val="00D6281A"/>
    <w:rsid w:val="00D719F3"/>
    <w:rsid w:val="00D721B4"/>
    <w:rsid w:val="00D74F18"/>
    <w:rsid w:val="00D81C3D"/>
    <w:rsid w:val="00D82CD2"/>
    <w:rsid w:val="00D83463"/>
    <w:rsid w:val="00D83650"/>
    <w:rsid w:val="00D87EE7"/>
    <w:rsid w:val="00D91482"/>
    <w:rsid w:val="00D9267E"/>
    <w:rsid w:val="00D92D78"/>
    <w:rsid w:val="00D932EE"/>
    <w:rsid w:val="00D94B63"/>
    <w:rsid w:val="00D94EA0"/>
    <w:rsid w:val="00D96622"/>
    <w:rsid w:val="00D9708A"/>
    <w:rsid w:val="00D97AB1"/>
    <w:rsid w:val="00DA1925"/>
    <w:rsid w:val="00DA35CA"/>
    <w:rsid w:val="00DA70FF"/>
    <w:rsid w:val="00DB0CCF"/>
    <w:rsid w:val="00DB3818"/>
    <w:rsid w:val="00DB4518"/>
    <w:rsid w:val="00DB6B93"/>
    <w:rsid w:val="00DB6C2C"/>
    <w:rsid w:val="00DC0A4B"/>
    <w:rsid w:val="00DC0E9B"/>
    <w:rsid w:val="00DC21CC"/>
    <w:rsid w:val="00DC73F9"/>
    <w:rsid w:val="00DC7CCD"/>
    <w:rsid w:val="00DD19B7"/>
    <w:rsid w:val="00DD22BC"/>
    <w:rsid w:val="00DE279C"/>
    <w:rsid w:val="00DE52B4"/>
    <w:rsid w:val="00DF14B1"/>
    <w:rsid w:val="00DF1A59"/>
    <w:rsid w:val="00DF35B5"/>
    <w:rsid w:val="00DF5F69"/>
    <w:rsid w:val="00DF761C"/>
    <w:rsid w:val="00E0152C"/>
    <w:rsid w:val="00E05300"/>
    <w:rsid w:val="00E06B2D"/>
    <w:rsid w:val="00E06E06"/>
    <w:rsid w:val="00E108C6"/>
    <w:rsid w:val="00E11FB2"/>
    <w:rsid w:val="00E12664"/>
    <w:rsid w:val="00E1274D"/>
    <w:rsid w:val="00E13203"/>
    <w:rsid w:val="00E135BE"/>
    <w:rsid w:val="00E13CA2"/>
    <w:rsid w:val="00E14D5C"/>
    <w:rsid w:val="00E15AF3"/>
    <w:rsid w:val="00E161D1"/>
    <w:rsid w:val="00E1689F"/>
    <w:rsid w:val="00E17254"/>
    <w:rsid w:val="00E212BE"/>
    <w:rsid w:val="00E21FA4"/>
    <w:rsid w:val="00E22D24"/>
    <w:rsid w:val="00E22F24"/>
    <w:rsid w:val="00E2382F"/>
    <w:rsid w:val="00E24E5D"/>
    <w:rsid w:val="00E3217C"/>
    <w:rsid w:val="00E36741"/>
    <w:rsid w:val="00E373AE"/>
    <w:rsid w:val="00E41597"/>
    <w:rsid w:val="00E4172D"/>
    <w:rsid w:val="00E4182E"/>
    <w:rsid w:val="00E50413"/>
    <w:rsid w:val="00E55935"/>
    <w:rsid w:val="00E57237"/>
    <w:rsid w:val="00E62506"/>
    <w:rsid w:val="00E63F89"/>
    <w:rsid w:val="00E64BFD"/>
    <w:rsid w:val="00E64C4D"/>
    <w:rsid w:val="00E64EBF"/>
    <w:rsid w:val="00E70383"/>
    <w:rsid w:val="00E709DB"/>
    <w:rsid w:val="00E70F83"/>
    <w:rsid w:val="00E75B4B"/>
    <w:rsid w:val="00E8016B"/>
    <w:rsid w:val="00E80617"/>
    <w:rsid w:val="00E8163D"/>
    <w:rsid w:val="00E85B61"/>
    <w:rsid w:val="00E87088"/>
    <w:rsid w:val="00E941F7"/>
    <w:rsid w:val="00E95E66"/>
    <w:rsid w:val="00E966C3"/>
    <w:rsid w:val="00E97D6F"/>
    <w:rsid w:val="00E97EB0"/>
    <w:rsid w:val="00EA42FC"/>
    <w:rsid w:val="00EA5D2D"/>
    <w:rsid w:val="00EB67DA"/>
    <w:rsid w:val="00EC29B6"/>
    <w:rsid w:val="00EC6399"/>
    <w:rsid w:val="00EC7B6C"/>
    <w:rsid w:val="00ED00C1"/>
    <w:rsid w:val="00ED059D"/>
    <w:rsid w:val="00ED11DD"/>
    <w:rsid w:val="00ED3579"/>
    <w:rsid w:val="00ED36C0"/>
    <w:rsid w:val="00ED6EE5"/>
    <w:rsid w:val="00ED7EF1"/>
    <w:rsid w:val="00EE610D"/>
    <w:rsid w:val="00EE6A58"/>
    <w:rsid w:val="00EF59D3"/>
    <w:rsid w:val="00EF7BA0"/>
    <w:rsid w:val="00F00288"/>
    <w:rsid w:val="00F03745"/>
    <w:rsid w:val="00F03899"/>
    <w:rsid w:val="00F10329"/>
    <w:rsid w:val="00F12718"/>
    <w:rsid w:val="00F12B22"/>
    <w:rsid w:val="00F13C9F"/>
    <w:rsid w:val="00F14EF6"/>
    <w:rsid w:val="00F16E43"/>
    <w:rsid w:val="00F16FED"/>
    <w:rsid w:val="00F17570"/>
    <w:rsid w:val="00F20D57"/>
    <w:rsid w:val="00F22550"/>
    <w:rsid w:val="00F23334"/>
    <w:rsid w:val="00F2738E"/>
    <w:rsid w:val="00F3016E"/>
    <w:rsid w:val="00F379AA"/>
    <w:rsid w:val="00F44761"/>
    <w:rsid w:val="00F46AB3"/>
    <w:rsid w:val="00F474B2"/>
    <w:rsid w:val="00F50369"/>
    <w:rsid w:val="00F50692"/>
    <w:rsid w:val="00F5173D"/>
    <w:rsid w:val="00F52276"/>
    <w:rsid w:val="00F565B8"/>
    <w:rsid w:val="00F575A7"/>
    <w:rsid w:val="00F60831"/>
    <w:rsid w:val="00F65AD3"/>
    <w:rsid w:val="00F70531"/>
    <w:rsid w:val="00F71128"/>
    <w:rsid w:val="00F71E53"/>
    <w:rsid w:val="00F72EFC"/>
    <w:rsid w:val="00F768AB"/>
    <w:rsid w:val="00F76A08"/>
    <w:rsid w:val="00F81D9A"/>
    <w:rsid w:val="00F85DCD"/>
    <w:rsid w:val="00F875D2"/>
    <w:rsid w:val="00F90490"/>
    <w:rsid w:val="00F93577"/>
    <w:rsid w:val="00F94AE4"/>
    <w:rsid w:val="00F97389"/>
    <w:rsid w:val="00F976AC"/>
    <w:rsid w:val="00F97B09"/>
    <w:rsid w:val="00FA12AD"/>
    <w:rsid w:val="00FA1C85"/>
    <w:rsid w:val="00FA3864"/>
    <w:rsid w:val="00FA43C3"/>
    <w:rsid w:val="00FA48E5"/>
    <w:rsid w:val="00FA6964"/>
    <w:rsid w:val="00FA6D1C"/>
    <w:rsid w:val="00FB19A9"/>
    <w:rsid w:val="00FC097D"/>
    <w:rsid w:val="00FC0A54"/>
    <w:rsid w:val="00FC2F2E"/>
    <w:rsid w:val="00FC3A41"/>
    <w:rsid w:val="00FD314F"/>
    <w:rsid w:val="00FD3F68"/>
    <w:rsid w:val="00FD6099"/>
    <w:rsid w:val="00FD668C"/>
    <w:rsid w:val="00FD6BBF"/>
    <w:rsid w:val="00FD707C"/>
    <w:rsid w:val="00FE51BD"/>
    <w:rsid w:val="00FE5DC3"/>
    <w:rsid w:val="00FF1779"/>
    <w:rsid w:val="00FF1981"/>
    <w:rsid w:val="00FF2340"/>
    <w:rsid w:val="00FF60C7"/>
    <w:rsid w:val="00FF7392"/>
    <w:rsid w:val="011B684E"/>
    <w:rsid w:val="023B43DC"/>
    <w:rsid w:val="06901236"/>
    <w:rsid w:val="074D26E8"/>
    <w:rsid w:val="07CFD644"/>
    <w:rsid w:val="0BCEBC5D"/>
    <w:rsid w:val="0DBFE2F8"/>
    <w:rsid w:val="0FBC2B8C"/>
    <w:rsid w:val="0FEF3741"/>
    <w:rsid w:val="10BF4D65"/>
    <w:rsid w:val="110F26B1"/>
    <w:rsid w:val="123FAB0F"/>
    <w:rsid w:val="12ABA992"/>
    <w:rsid w:val="13404ED0"/>
    <w:rsid w:val="196F554B"/>
    <w:rsid w:val="1A7D41CF"/>
    <w:rsid w:val="1C617F92"/>
    <w:rsid w:val="1FBC0AAB"/>
    <w:rsid w:val="1FD3237E"/>
    <w:rsid w:val="1FFE9220"/>
    <w:rsid w:val="21CE0EBF"/>
    <w:rsid w:val="24485B15"/>
    <w:rsid w:val="279739DC"/>
    <w:rsid w:val="2B654047"/>
    <w:rsid w:val="2B7F06BC"/>
    <w:rsid w:val="2BA765C7"/>
    <w:rsid w:val="2CBFC7F4"/>
    <w:rsid w:val="2D796A1B"/>
    <w:rsid w:val="2EBB2BE0"/>
    <w:rsid w:val="30213016"/>
    <w:rsid w:val="3137624B"/>
    <w:rsid w:val="353C734E"/>
    <w:rsid w:val="377B2AE6"/>
    <w:rsid w:val="37FDE83A"/>
    <w:rsid w:val="394CC8F2"/>
    <w:rsid w:val="39535A44"/>
    <w:rsid w:val="3FBB041B"/>
    <w:rsid w:val="3FDF96BE"/>
    <w:rsid w:val="449D125C"/>
    <w:rsid w:val="456E4695"/>
    <w:rsid w:val="47F1BE4E"/>
    <w:rsid w:val="4BB12688"/>
    <w:rsid w:val="4D8350CF"/>
    <w:rsid w:val="51650C56"/>
    <w:rsid w:val="53F32EF9"/>
    <w:rsid w:val="55FBA425"/>
    <w:rsid w:val="5675647A"/>
    <w:rsid w:val="593E2C7F"/>
    <w:rsid w:val="5972FA0F"/>
    <w:rsid w:val="5A0C7C1B"/>
    <w:rsid w:val="5B334524"/>
    <w:rsid w:val="5BAE3879"/>
    <w:rsid w:val="5BF72A06"/>
    <w:rsid w:val="5D773F84"/>
    <w:rsid w:val="5DDE3B16"/>
    <w:rsid w:val="5FC6A7F5"/>
    <w:rsid w:val="5FFB250A"/>
    <w:rsid w:val="6448320B"/>
    <w:rsid w:val="64B86B45"/>
    <w:rsid w:val="653A6CF6"/>
    <w:rsid w:val="65BE30C6"/>
    <w:rsid w:val="67F764B4"/>
    <w:rsid w:val="69FB27F4"/>
    <w:rsid w:val="6DC6F240"/>
    <w:rsid w:val="6F2C465B"/>
    <w:rsid w:val="6F93833B"/>
    <w:rsid w:val="6FFFD09B"/>
    <w:rsid w:val="72B156AF"/>
    <w:rsid w:val="73C5D770"/>
    <w:rsid w:val="73DB4D2A"/>
    <w:rsid w:val="76F409F4"/>
    <w:rsid w:val="7765348E"/>
    <w:rsid w:val="77DFE2A4"/>
    <w:rsid w:val="7B5231C0"/>
    <w:rsid w:val="7B741342"/>
    <w:rsid w:val="7BBF567B"/>
    <w:rsid w:val="7BFDB881"/>
    <w:rsid w:val="7CD997D9"/>
    <w:rsid w:val="7CFDF81F"/>
    <w:rsid w:val="7D164783"/>
    <w:rsid w:val="7DFB6E7E"/>
    <w:rsid w:val="7E7D5E85"/>
    <w:rsid w:val="7E960D71"/>
    <w:rsid w:val="7EDDA46E"/>
    <w:rsid w:val="7EFF602E"/>
    <w:rsid w:val="7F3354CF"/>
    <w:rsid w:val="7FFE70C1"/>
    <w:rsid w:val="7FFF1969"/>
    <w:rsid w:val="7FFF757B"/>
    <w:rsid w:val="9D7E72A1"/>
    <w:rsid w:val="9FBDCB34"/>
    <w:rsid w:val="9FD1EF54"/>
    <w:rsid w:val="A9FFF2C3"/>
    <w:rsid w:val="B8FF5010"/>
    <w:rsid w:val="B9EF9635"/>
    <w:rsid w:val="BBFE8427"/>
    <w:rsid w:val="BF6DE7B2"/>
    <w:rsid w:val="BFB8C6A8"/>
    <w:rsid w:val="BFEF8933"/>
    <w:rsid w:val="CBEF948D"/>
    <w:rsid w:val="D7EE6CE8"/>
    <w:rsid w:val="D9DA0A1B"/>
    <w:rsid w:val="DBBF8D5B"/>
    <w:rsid w:val="DEFBFA02"/>
    <w:rsid w:val="DF764F80"/>
    <w:rsid w:val="DFC5CB51"/>
    <w:rsid w:val="DFE7854A"/>
    <w:rsid w:val="E1736A31"/>
    <w:rsid w:val="E7BF057C"/>
    <w:rsid w:val="ECF999AF"/>
    <w:rsid w:val="EE774C79"/>
    <w:rsid w:val="EEFF2B9C"/>
    <w:rsid w:val="EFBFDB30"/>
    <w:rsid w:val="EFF92615"/>
    <w:rsid w:val="EFFD386D"/>
    <w:rsid w:val="F3975B0B"/>
    <w:rsid w:val="F7FD3BB5"/>
    <w:rsid w:val="F7FF8153"/>
    <w:rsid w:val="F9E77387"/>
    <w:rsid w:val="FAEC2067"/>
    <w:rsid w:val="FB7B2538"/>
    <w:rsid w:val="FBC3AC4F"/>
    <w:rsid w:val="FBD9619B"/>
    <w:rsid w:val="FD3510F7"/>
    <w:rsid w:val="FDFF3AE0"/>
    <w:rsid w:val="FF031C0C"/>
    <w:rsid w:val="FF7F6557"/>
    <w:rsid w:val="FF7FEE51"/>
    <w:rsid w:val="FFBF5F6F"/>
    <w:rsid w:val="FFD796D2"/>
    <w:rsid w:val="FFEF00F9"/>
    <w:rsid w:val="FFFC6EE7"/>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qFormat="1"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kern w:val="2"/>
      <w:sz w:val="21"/>
      <w:szCs w:val="24"/>
      <w:lang w:val="en-US" w:eastAsia="zh-CN" w:bidi="ar-SA"/>
    </w:rPr>
  </w:style>
  <w:style w:type="paragraph" w:styleId="2">
    <w:name w:val="heading 1"/>
    <w:basedOn w:val="1"/>
    <w:next w:val="1"/>
    <w:qFormat/>
    <w:uiPriority w:val="9"/>
    <w:pPr>
      <w:widowControl/>
      <w:spacing w:before="100" w:beforeAutospacing="1" w:after="100" w:afterAutospacing="1"/>
      <w:jc w:val="left"/>
      <w:outlineLvl w:val="0"/>
    </w:pPr>
    <w:rPr>
      <w:rFonts w:ascii="宋体" w:hAnsi="宋体" w:eastAsia="宋体" w:cs="宋体"/>
      <w:b/>
      <w:bCs/>
      <w:kern w:val="36"/>
      <w:sz w:val="48"/>
      <w:szCs w:val="48"/>
      <w:lang w:bidi="ar-SA"/>
    </w:rPr>
  </w:style>
  <w:style w:type="character" w:default="1" w:styleId="13">
    <w:name w:val="Default Paragraph Font"/>
    <w:semiHidden/>
    <w:uiPriority w:val="0"/>
  </w:style>
  <w:style w:type="table" w:default="1" w:styleId="11">
    <w:name w:val="Normal Table"/>
    <w:semiHidden/>
    <w:uiPriority w:val="0"/>
    <w:tblPr>
      <w:tblStyle w:val="11"/>
      <w:tblLayout w:type="fixed"/>
      <w:tblCellMar>
        <w:top w:w="0" w:type="dxa"/>
        <w:left w:w="108" w:type="dxa"/>
        <w:bottom w:w="0" w:type="dxa"/>
        <w:right w:w="108" w:type="dxa"/>
      </w:tblCellMar>
    </w:tblPr>
  </w:style>
  <w:style w:type="paragraph" w:styleId="3">
    <w:name w:val="Document Map"/>
    <w:basedOn w:val="1"/>
    <w:semiHidden/>
    <w:uiPriority w:val="0"/>
    <w:pPr>
      <w:shd w:val="clear" w:color="auto" w:fill="000080"/>
    </w:pPr>
  </w:style>
  <w:style w:type="paragraph" w:styleId="4">
    <w:name w:val="Body Text Indent"/>
    <w:basedOn w:val="1"/>
    <w:next w:val="5"/>
    <w:qFormat/>
    <w:uiPriority w:val="0"/>
    <w:pPr>
      <w:suppressAutoHyphens/>
      <w:bidi w:val="0"/>
      <w:ind w:left="420" w:leftChars="200"/>
    </w:pPr>
    <w:rPr>
      <w:rFonts w:ascii="Calibri" w:hAnsi="Calibri" w:eastAsia="宋体" w:cs="Times New Roman"/>
      <w:color w:val="auto"/>
      <w:sz w:val="32"/>
      <w:szCs w:val="32"/>
      <w:lang w:bidi="ar-SA"/>
    </w:rPr>
  </w:style>
  <w:style w:type="paragraph" w:styleId="5">
    <w:name w:val="toc 6"/>
    <w:next w:val="1"/>
    <w:qFormat/>
    <w:uiPriority w:val="0"/>
    <w:pPr>
      <w:wordWrap w:val="0"/>
      <w:ind w:left="1700"/>
      <w:jc w:val="both"/>
    </w:pPr>
    <w:rPr>
      <w:rFonts w:ascii="Times New Roman" w:hAnsi="Times New Roman" w:eastAsia="宋体" w:cs="Times New Roman"/>
      <w:sz w:val="21"/>
      <w:lang w:val="en-US" w:eastAsia="zh-CN" w:bidi="ar-SA"/>
    </w:rPr>
  </w:style>
  <w:style w:type="paragraph" w:styleId="6">
    <w:name w:val="Date"/>
    <w:basedOn w:val="1"/>
    <w:next w:val="1"/>
    <w:link w:val="16"/>
    <w:uiPriority w:val="0"/>
    <w:pPr>
      <w:ind w:left="100" w:leftChars="2500"/>
    </w:pPr>
    <w:rPr>
      <w:rFonts w:ascii="仿宋_GB2312" w:eastAsia="仿宋_GB2312"/>
      <w:sz w:val="32"/>
    </w:rPr>
  </w:style>
  <w:style w:type="paragraph" w:styleId="7">
    <w:name w:val="Balloon Text"/>
    <w:basedOn w:val="1"/>
    <w:semiHidden/>
    <w:uiPriority w:val="0"/>
    <w:rPr>
      <w:sz w:val="18"/>
      <w:szCs w:val="18"/>
    </w:rPr>
  </w:style>
  <w:style w:type="paragraph" w:styleId="8">
    <w:name w:val="footer"/>
    <w:basedOn w:val="1"/>
    <w:link w:val="17"/>
    <w:uiPriority w:val="0"/>
    <w:pPr>
      <w:tabs>
        <w:tab w:val="center" w:pos="4153"/>
        <w:tab w:val="right" w:pos="8306"/>
      </w:tabs>
      <w:snapToGrid w:val="0"/>
      <w:jc w:val="left"/>
    </w:pPr>
    <w:rPr>
      <w:sz w:val="18"/>
      <w:szCs w:val="18"/>
    </w:rPr>
  </w:style>
  <w:style w:type="paragraph" w:styleId="9">
    <w:name w:val="header"/>
    <w:basedOn w:val="1"/>
    <w:link w:val="18"/>
    <w:uiPriority w:val="0"/>
    <w:pPr>
      <w:pBdr>
        <w:bottom w:val="single" w:color="auto" w:sz="6" w:space="1"/>
      </w:pBdr>
      <w:tabs>
        <w:tab w:val="center" w:pos="4153"/>
        <w:tab w:val="right" w:pos="8306"/>
      </w:tabs>
      <w:snapToGrid w:val="0"/>
      <w:jc w:val="center"/>
    </w:pPr>
    <w:rPr>
      <w:sz w:val="18"/>
      <w:szCs w:val="18"/>
    </w:rPr>
  </w:style>
  <w:style w:type="paragraph" w:styleId="10">
    <w:name w:val="Normal (Web)"/>
    <w:basedOn w:val="1"/>
    <w:qFormat/>
    <w:uiPriority w:val="0"/>
    <w:rPr>
      <w:rFonts w:ascii="Calibri" w:hAnsi="Calibri" w:eastAsia="宋体" w:cs="Times New Roman"/>
      <w:sz w:val="24"/>
      <w:szCs w:val="24"/>
      <w:lang w:bidi="ar-SA"/>
    </w:rPr>
  </w:style>
  <w:style w:type="table" w:styleId="12">
    <w:name w:val="Table Grid"/>
    <w:basedOn w:val="11"/>
    <w:uiPriority w:val="0"/>
    <w:pPr>
      <w:widowControl w:val="0"/>
      <w:jc w:val="both"/>
    </w:pPr>
    <w:tblPr>
      <w:tblStyle w:val="1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14">
    <w:name w:val="page number"/>
    <w:basedOn w:val="13"/>
    <w:uiPriority w:val="0"/>
  </w:style>
  <w:style w:type="character" w:styleId="15">
    <w:name w:val="Hyperlink"/>
    <w:basedOn w:val="13"/>
    <w:unhideWhenUsed/>
    <w:qFormat/>
    <w:uiPriority w:val="99"/>
    <w:rPr>
      <w:rFonts w:ascii="Calibri" w:hAnsi="Calibri" w:eastAsia="宋体" w:cs="Times New Roman"/>
      <w:color w:val="0000FF"/>
      <w:u w:val="single"/>
    </w:rPr>
  </w:style>
  <w:style w:type="character" w:customStyle="1" w:styleId="16">
    <w:name w:val=" Char Char2"/>
    <w:basedOn w:val="13"/>
    <w:link w:val="6"/>
    <w:uiPriority w:val="0"/>
    <w:rPr>
      <w:rFonts w:ascii="仿宋_GB2312" w:hAnsi="Times New Roman" w:eastAsia="仿宋_GB2312" w:cs="Times New Roman"/>
      <w:kern w:val="2"/>
      <w:sz w:val="32"/>
      <w:szCs w:val="24"/>
      <w:lang w:bidi="ar-SA"/>
    </w:rPr>
  </w:style>
  <w:style w:type="character" w:customStyle="1" w:styleId="17">
    <w:name w:val=" Char Char"/>
    <w:basedOn w:val="13"/>
    <w:link w:val="8"/>
    <w:semiHidden/>
    <w:uiPriority w:val="99"/>
    <w:rPr>
      <w:rFonts w:ascii="Calibri" w:hAnsi="Calibri" w:eastAsia="宋体" w:cs="Mongolian Baiti"/>
      <w:kern w:val="2"/>
      <w:sz w:val="18"/>
      <w:szCs w:val="22"/>
    </w:rPr>
  </w:style>
  <w:style w:type="character" w:customStyle="1" w:styleId="18">
    <w:name w:val=" Char Char1"/>
    <w:basedOn w:val="13"/>
    <w:link w:val="9"/>
    <w:semiHidden/>
    <w:uiPriority w:val="99"/>
    <w:rPr>
      <w:rFonts w:ascii="Calibri" w:hAnsi="Calibri" w:eastAsia="宋体" w:cs="Mongolian Baiti"/>
      <w:kern w:val="2"/>
      <w:sz w:val="18"/>
      <w:szCs w:val="22"/>
    </w:rPr>
  </w:style>
  <w:style w:type="character" w:customStyle="1" w:styleId="19">
    <w:name w:val="font21"/>
    <w:basedOn w:val="13"/>
    <w:qFormat/>
    <w:uiPriority w:val="0"/>
    <w:rPr>
      <w:rFonts w:ascii="Calibri" w:hAnsi="Calibri" w:eastAsia="宋体" w:cs="Calibri"/>
      <w:color w:val="000000"/>
      <w:sz w:val="32"/>
      <w:szCs w:val="32"/>
      <w:u w:val="none"/>
    </w:rPr>
  </w:style>
  <w:style w:type="character" w:customStyle="1" w:styleId="20">
    <w:name w:val="font31"/>
    <w:basedOn w:val="13"/>
    <w:qFormat/>
    <w:uiPriority w:val="0"/>
    <w:rPr>
      <w:rFonts w:hint="eastAsia" w:ascii="宋体" w:hAnsi="宋体" w:eastAsia="宋体" w:cs="宋体"/>
      <w:color w:val="000000"/>
      <w:sz w:val="32"/>
      <w:szCs w:val="32"/>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wdzx97.dot</Template>
  <Company>Lenovo (Beijing) Limited</Company>
  <Pages>2</Pages>
  <Words>15</Words>
  <Characters>87</Characters>
  <Lines>1</Lines>
  <Paragraphs>1</Paragraphs>
  <TotalTime>32</TotalTime>
  <ScaleCrop>false</ScaleCrop>
  <LinksUpToDate>false</LinksUpToDate>
  <CharactersWithSpaces>101</CharactersWithSpaces>
  <Application>WPS Office_11.8.2.8621_F1E327BC-269C-435d-A152-05C5408002CA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2012-09-19T12:59:00Z</dcterms:created>
  <dc:creator>阿拉善盟行政公署:打印</dc:creator>
  <cp:lastModifiedBy>zwfw</cp:lastModifiedBy>
  <cp:lastPrinted>2023-01-16T09:31:32Z</cp:lastPrinted>
  <dcterms:modified xsi:type="dcterms:W3CDTF">2023-01-19T10:01:56Z</dcterms:modified>
  <dc:title>_x0001_</dc:title>
  <cp:revision>34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2052-11.8.2.8621</vt:lpwstr>
  </property>
</Properties>
</file>