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220" w:firstLineChars="50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220" w:firstLineChars="50"/>
        <w:jc w:val="both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内蒙古自治区人民政府办公厅关于印发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自治区2024年“全区通办”事项清单的通知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adjustRightInd w:val="0"/>
        <w:snapToGrid w:val="0"/>
        <w:spacing w:line="480" w:lineRule="exact"/>
        <w:ind w:firstLine="160" w:firstLineChars="50"/>
        <w:jc w:val="center"/>
        <w:rPr>
          <w:rFonts w:hint="eastAsia" w:ascii="仿宋_GB2312" w:hAnsi="华文仿宋" w:eastAsia="仿宋_GB2312"/>
          <w:sz w:val="32"/>
        </w:rPr>
      </w:pPr>
      <w:r>
        <w:rPr>
          <w:rFonts w:hint="eastAsia" w:ascii="仿宋_GB2312" w:hAnsi="华文仿宋" w:eastAsia="仿宋_GB2312"/>
          <w:sz w:val="32"/>
          <w:lang w:eastAsia="zh-CN"/>
        </w:rPr>
        <w:t>内政办发〔2024〕</w:t>
      </w:r>
      <w:r>
        <w:rPr>
          <w:rFonts w:hint="eastAsia" w:ascii="仿宋_GB2312" w:hAnsi="华文仿宋" w:eastAsia="仿宋_GB2312"/>
          <w:sz w:val="32"/>
          <w:lang w:val="en-US" w:eastAsia="zh-CN"/>
        </w:rPr>
        <w:t>21</w:t>
      </w:r>
      <w:r>
        <w:rPr>
          <w:rFonts w:hint="eastAsia" w:ascii="仿宋_GB2312" w:hAnsi="华文仿宋" w:eastAsia="仿宋_GB2312"/>
          <w:sz w:val="32"/>
          <w:lang w:eastAsia="zh-CN"/>
        </w:rPr>
        <w:t>号</w:t>
      </w:r>
    </w:p>
    <w:p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442"/>
        <w:textAlignment w:val="auto"/>
        <w:rPr>
          <w:rFonts w:hint="eastAsia" w:ascii="方正楷体_GBK" w:hAnsi="方正楷体_GBK" w:eastAsia="方正楷体_GBK" w:cs="方正楷体_GBK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各盟行政公署、市人民政府，自治区</w:t>
      </w:r>
      <w:r>
        <w:rPr>
          <w:rFonts w:hint="eastAsia" w:ascii="楷体" w:hAnsi="楷体" w:eastAsia="楷体" w:cs="楷体"/>
          <w:bCs/>
          <w:sz w:val="32"/>
          <w:szCs w:val="32"/>
          <w:lang w:eastAsia="zh-CN"/>
        </w:rPr>
        <w:t>各委、办、厅、局，各大企业、事业单位</w:t>
      </w:r>
      <w:r>
        <w:rPr>
          <w:rFonts w:hint="eastAsia" w:ascii="楷体" w:hAnsi="楷体" w:eastAsia="楷体" w:cs="楷体"/>
          <w:bCs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经自治区人民政府同意，现将《内蒙古自治区2024年“全区通办”事项清单（15</w:t>
      </w:r>
      <w:r>
        <w:rPr>
          <w:rFonts w:hint="eastAsia" w:ascii="楷体" w:hAnsi="楷体" w:eastAsia="楷体" w:cs="楷体"/>
          <w:bCs/>
          <w:sz w:val="32"/>
          <w:szCs w:val="32"/>
          <w:lang w:val="en-US" w:eastAsia="zh-CN"/>
        </w:rPr>
        <w:t>0</w:t>
      </w:r>
      <w:r>
        <w:rPr>
          <w:rFonts w:hint="eastAsia" w:ascii="楷体" w:hAnsi="楷体" w:eastAsia="楷体" w:cs="楷体"/>
          <w:bCs/>
          <w:sz w:val="32"/>
          <w:szCs w:val="32"/>
        </w:rPr>
        <w:t>项）》</w:t>
      </w:r>
      <w:r>
        <w:rPr>
          <w:rFonts w:hint="eastAsia" w:ascii="楷体" w:hAnsi="楷体" w:eastAsia="楷体" w:cs="楷体"/>
          <w:sz w:val="32"/>
          <w:szCs w:val="32"/>
        </w:rPr>
        <w:t>（以下简称《通办清单》）印发给你们，并提出以下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工作</w:t>
      </w:r>
      <w:r>
        <w:rPr>
          <w:rFonts w:hint="eastAsia" w:ascii="楷体" w:hAnsi="楷体" w:eastAsia="楷体" w:cs="楷体"/>
          <w:sz w:val="32"/>
          <w:szCs w:val="32"/>
        </w:rPr>
        <w:t>要求，请一并贯彻落实。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一、推行分类实施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pacing w:val="-6"/>
          <w:sz w:val="32"/>
          <w:szCs w:val="32"/>
        </w:rPr>
        <w:t>（一）《通办清单》涉及公安</w:t>
      </w:r>
      <w:r>
        <w:rPr>
          <w:rFonts w:hint="eastAsia" w:ascii="楷体" w:hAnsi="楷体" w:eastAsia="楷体" w:cs="楷体"/>
          <w:spacing w:val="-6"/>
          <w:sz w:val="32"/>
          <w:szCs w:val="32"/>
          <w:lang w:eastAsia="zh-CN"/>
        </w:rPr>
        <w:t>机关</w:t>
      </w:r>
      <w:r>
        <w:rPr>
          <w:rFonts w:hint="eastAsia" w:ascii="楷体" w:hAnsi="楷体" w:eastAsia="楷体" w:cs="楷体"/>
          <w:spacing w:val="-6"/>
          <w:sz w:val="32"/>
          <w:szCs w:val="32"/>
        </w:rPr>
        <w:t>的“无犯罪记录证明”</w:t>
      </w:r>
      <w:r>
        <w:rPr>
          <w:rFonts w:hint="eastAsia" w:ascii="楷体" w:hAnsi="楷体" w:eastAsia="楷体" w:cs="楷体"/>
          <w:spacing w:val="-6"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楷体"/>
          <w:spacing w:val="-6"/>
          <w:sz w:val="32"/>
          <w:szCs w:val="32"/>
        </w:rPr>
        <w:t>“全</w:t>
      </w:r>
      <w:r>
        <w:rPr>
          <w:rFonts w:hint="eastAsia" w:ascii="楷体" w:hAnsi="楷体" w:eastAsia="楷体" w:cs="楷体"/>
          <w:sz w:val="32"/>
          <w:szCs w:val="32"/>
        </w:rPr>
        <w:t>区通办”事项，不纳入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“</w:t>
      </w:r>
      <w:r>
        <w:rPr>
          <w:rFonts w:hint="eastAsia" w:ascii="楷体" w:hAnsi="楷体" w:eastAsia="楷体" w:cs="楷体"/>
          <w:sz w:val="32"/>
          <w:szCs w:val="32"/>
        </w:rPr>
        <w:t>全区通办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”</w:t>
      </w:r>
      <w:r>
        <w:rPr>
          <w:rFonts w:hint="eastAsia" w:ascii="楷体" w:hAnsi="楷体" w:eastAsia="楷体" w:cs="楷体"/>
          <w:sz w:val="32"/>
          <w:szCs w:val="32"/>
        </w:rPr>
        <w:t>综合受理窗口，申请人在户籍地或居住地公安派出所办理。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hint="eastAsia" w:ascii="楷体" w:hAnsi="楷体" w:eastAsia="楷体" w:cs="楷体"/>
          <w:spacing w:val="6"/>
          <w:sz w:val="32"/>
          <w:szCs w:val="32"/>
        </w:rPr>
        <w:t>《通办清单》中其余1</w:t>
      </w:r>
      <w:r>
        <w:rPr>
          <w:rFonts w:hint="eastAsia" w:ascii="楷体" w:hAnsi="楷体" w:eastAsia="楷体" w:cs="楷体"/>
          <w:spacing w:val="6"/>
          <w:sz w:val="32"/>
          <w:szCs w:val="32"/>
          <w:lang w:val="en-US" w:eastAsia="zh-CN"/>
        </w:rPr>
        <w:t>49</w:t>
      </w:r>
      <w:r>
        <w:rPr>
          <w:rFonts w:hint="eastAsia" w:ascii="楷体" w:hAnsi="楷体" w:eastAsia="楷体" w:cs="楷体"/>
          <w:spacing w:val="6"/>
          <w:sz w:val="32"/>
          <w:szCs w:val="32"/>
        </w:rPr>
        <w:t>项政务服务事项，全部纳入各</w:t>
      </w:r>
      <w:r>
        <w:rPr>
          <w:rFonts w:hint="eastAsia" w:ascii="楷体" w:hAnsi="楷体" w:eastAsia="楷体" w:cs="楷体"/>
          <w:sz w:val="32"/>
          <w:szCs w:val="32"/>
        </w:rPr>
        <w:t>级政务服务中心“全区通办”综合窗口进行接件受理，企业和群众可就近选择政务服务中心“全区通办”窗口提交办理申请。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（三）鼓励有条件的苏木乡镇（街道）便民服务中心和嘎查村（社区）便民服务站选择性开展“全区通办”业务。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实行</w:t>
      </w:r>
      <w:r>
        <w:rPr>
          <w:rFonts w:hint="eastAsia" w:ascii="黑体" w:hAnsi="黑体" w:eastAsia="黑体" w:cs="黑体"/>
          <w:sz w:val="32"/>
          <w:szCs w:val="32"/>
        </w:rPr>
        <w:t>动态调整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64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Cs/>
          <w:spacing w:val="6"/>
          <w:sz w:val="32"/>
          <w:szCs w:val="32"/>
          <w:lang w:eastAsia="zh-CN"/>
        </w:rPr>
        <w:t>《通办</w:t>
      </w:r>
      <w:r>
        <w:rPr>
          <w:rFonts w:hint="eastAsia" w:ascii="方正楷体_GBK" w:hAnsi="方正楷体_GBK" w:eastAsia="方正楷体_GBK" w:cs="方正楷体_GBK"/>
          <w:bCs/>
          <w:spacing w:val="6"/>
          <w:sz w:val="32"/>
          <w:szCs w:val="32"/>
        </w:rPr>
        <w:t>清单</w:t>
      </w:r>
      <w:r>
        <w:rPr>
          <w:rFonts w:hint="eastAsia" w:ascii="方正楷体_GBK" w:hAnsi="方正楷体_GBK" w:eastAsia="方正楷体_GBK" w:cs="方正楷体_GBK"/>
          <w:bCs/>
          <w:spacing w:val="6"/>
          <w:sz w:val="32"/>
          <w:szCs w:val="32"/>
          <w:lang w:eastAsia="zh-CN"/>
        </w:rPr>
        <w:t>》</w:t>
      </w:r>
      <w:r>
        <w:rPr>
          <w:rFonts w:hint="eastAsia" w:ascii="方正楷体_GBK" w:hAnsi="方正楷体_GBK" w:eastAsia="方正楷体_GBK" w:cs="方正楷体_GBK"/>
          <w:spacing w:val="6"/>
          <w:sz w:val="32"/>
          <w:szCs w:val="32"/>
        </w:rPr>
        <w:t>与自治区人民政府办公厅</w:t>
      </w:r>
      <w:r>
        <w:rPr>
          <w:rFonts w:hint="eastAsia" w:ascii="方正楷体_GBK" w:hAnsi="方正楷体_GBK" w:eastAsia="方正楷体_GBK" w:cs="方正楷体_GBK"/>
          <w:spacing w:val="6"/>
          <w:sz w:val="32"/>
          <w:szCs w:val="32"/>
          <w:lang w:eastAsia="zh-CN"/>
        </w:rPr>
        <w:t>于</w:t>
      </w:r>
      <w:r>
        <w:rPr>
          <w:rFonts w:hint="eastAsia" w:ascii="方正楷体_GBK" w:hAnsi="方正楷体_GBK" w:eastAsia="方正楷体_GBK" w:cs="方正楷体_GBK"/>
          <w:spacing w:val="6"/>
          <w:sz w:val="32"/>
          <w:szCs w:val="32"/>
        </w:rPr>
        <w:t>2023年5月29日</w:t>
      </w:r>
      <w:r>
        <w:rPr>
          <w:rFonts w:hint="eastAsia" w:ascii="方正楷体_GBK" w:hAnsi="方正楷体_GBK" w:eastAsia="方正楷体_GBK" w:cs="方正楷体_GBK"/>
          <w:spacing w:val="6"/>
          <w:sz w:val="32"/>
          <w:szCs w:val="32"/>
          <w:lang w:eastAsia="zh-CN"/>
        </w:rPr>
        <w:t>印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发的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《内蒙古自治区线下“全区通办”事项清单（156项）》(内政办发〔2023〕39号)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所列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事项，根据法律、法规、规章的“立、改、废、释”或权责清单变动需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要进行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调整的，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由涉及的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自治区相关部门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进行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合法性审核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后自行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动态调整，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并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做到数据同源、公开发布，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自治区人民政府办公厅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不再另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行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发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文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调整。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制定统一标准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Cs/>
          <w:spacing w:val="-6"/>
          <w:sz w:val="32"/>
          <w:szCs w:val="32"/>
        </w:rPr>
        <w:t>自治区各</w:t>
      </w:r>
      <w:r>
        <w:rPr>
          <w:rFonts w:hint="eastAsia" w:ascii="楷体" w:hAnsi="楷体" w:eastAsia="楷体" w:cs="楷体"/>
          <w:bCs/>
          <w:spacing w:val="-6"/>
          <w:sz w:val="32"/>
          <w:szCs w:val="32"/>
          <w:lang w:eastAsia="zh-CN"/>
        </w:rPr>
        <w:t>有</w:t>
      </w:r>
      <w:r>
        <w:rPr>
          <w:rFonts w:hint="eastAsia" w:ascii="楷体" w:hAnsi="楷体" w:eastAsia="楷体" w:cs="楷体"/>
          <w:bCs/>
          <w:spacing w:val="-6"/>
          <w:sz w:val="32"/>
          <w:szCs w:val="32"/>
        </w:rPr>
        <w:t>关部门</w:t>
      </w:r>
      <w:r>
        <w:rPr>
          <w:rFonts w:hint="eastAsia" w:ascii="楷体" w:hAnsi="楷体" w:eastAsia="楷体" w:cs="楷体"/>
          <w:bCs/>
          <w:spacing w:val="-6"/>
          <w:sz w:val="32"/>
          <w:szCs w:val="32"/>
          <w:lang w:eastAsia="zh-CN"/>
        </w:rPr>
        <w:t>要于</w:t>
      </w:r>
      <w:r>
        <w:rPr>
          <w:rFonts w:hint="eastAsia" w:ascii="楷体" w:hAnsi="楷体" w:eastAsia="楷体" w:cs="楷体"/>
          <w:bCs/>
          <w:spacing w:val="-6"/>
          <w:sz w:val="32"/>
          <w:szCs w:val="32"/>
          <w:lang w:val="en-US" w:eastAsia="zh-CN"/>
        </w:rPr>
        <w:t>2024年</w:t>
      </w:r>
      <w:r>
        <w:rPr>
          <w:rFonts w:hint="eastAsia" w:ascii="楷体" w:hAnsi="楷体" w:eastAsia="楷体" w:cs="楷体"/>
          <w:spacing w:val="-6"/>
          <w:sz w:val="32"/>
          <w:szCs w:val="32"/>
          <w:lang w:val="en-US" w:eastAsia="zh-CN"/>
        </w:rPr>
        <w:t>8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月底前</w:t>
      </w:r>
      <w:r>
        <w:rPr>
          <w:rFonts w:hint="eastAsia" w:ascii="楷体" w:hAnsi="楷体" w:eastAsia="楷体" w:cs="楷体"/>
          <w:sz w:val="32"/>
          <w:szCs w:val="32"/>
        </w:rPr>
        <w:t>逐项对“全区通办”事项的事项名称、编码、事项类型、办件类型、服务对象、通办范围、权力来源、审批结果类型、审批结果名称、审批结果样本、行使层级、法定办理时限、承诺办理时限、受理条件、办事流程、申请材料、办理情形、审查要点、办理时限、材料模板等进行全面规范、统一标准，实现同一事项在全区各地线上线下“无差别受理、同标准办理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优化支撑系统功能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自治区政务服务与数据管理局</w:t>
      </w:r>
      <w:r>
        <w:rPr>
          <w:rFonts w:hint="eastAsia" w:ascii="楷体" w:hAnsi="楷体" w:eastAsia="楷体" w:cs="楷体"/>
          <w:bCs/>
          <w:sz w:val="32"/>
          <w:szCs w:val="32"/>
          <w:lang w:eastAsia="zh-CN"/>
        </w:rPr>
        <w:t>要</w:t>
      </w:r>
      <w:r>
        <w:rPr>
          <w:rFonts w:hint="eastAsia" w:ascii="楷体" w:hAnsi="楷体" w:eastAsia="楷体" w:cs="楷体"/>
          <w:sz w:val="32"/>
          <w:szCs w:val="32"/>
        </w:rPr>
        <w:t>依托全区“综合一窗受理</w:t>
      </w:r>
      <w:r>
        <w:rPr>
          <w:rFonts w:hint="eastAsia" w:ascii="楷体" w:hAnsi="楷体" w:eastAsia="楷体" w:cs="楷体"/>
          <w:bCs/>
          <w:sz w:val="32"/>
          <w:szCs w:val="32"/>
        </w:rPr>
        <w:t>”系统，完善“全区通办”业务支撑系统办件流转、附件上传等相关功能，形成闭环管理</w:t>
      </w:r>
      <w:r>
        <w:rPr>
          <w:rFonts w:hint="eastAsia" w:ascii="楷体" w:hAnsi="楷体" w:eastAsia="楷体" w:cs="楷体"/>
          <w:bCs/>
          <w:sz w:val="32"/>
          <w:szCs w:val="32"/>
          <w:lang w:eastAsia="zh-CN"/>
        </w:rPr>
        <w:t>。要</w:t>
      </w:r>
      <w:r>
        <w:rPr>
          <w:rFonts w:hint="eastAsia" w:ascii="楷体" w:hAnsi="楷体" w:eastAsia="楷体" w:cs="楷体"/>
          <w:bCs/>
          <w:sz w:val="32"/>
          <w:szCs w:val="32"/>
        </w:rPr>
        <w:t>针对“全区通办”事项要素统一标准，在事项管理系统增加标准化配置功能，实现自治区层面制定统一标准，盟市、旗县</w:t>
      </w:r>
      <w:r>
        <w:rPr>
          <w:rFonts w:hint="eastAsia" w:ascii="楷体" w:hAnsi="楷体" w:eastAsia="楷体" w:cs="楷体"/>
          <w:bCs/>
          <w:sz w:val="32"/>
          <w:szCs w:val="32"/>
          <w:lang w:eastAsia="zh-CN"/>
        </w:rPr>
        <w:t>（市、区）</w:t>
      </w:r>
      <w:r>
        <w:rPr>
          <w:rFonts w:hint="eastAsia" w:ascii="楷体" w:hAnsi="楷体" w:eastAsia="楷体" w:cs="楷体"/>
          <w:bCs/>
          <w:sz w:val="32"/>
          <w:szCs w:val="32"/>
        </w:rPr>
        <w:t>层面复用。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加快配置复用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各地区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、自治区</w:t>
      </w:r>
      <w:r>
        <w:rPr>
          <w:rFonts w:hint="eastAsia" w:ascii="楷体" w:hAnsi="楷体" w:eastAsia="楷体" w:cs="楷体"/>
          <w:sz w:val="32"/>
          <w:szCs w:val="32"/>
        </w:rPr>
        <w:t>各</w:t>
      </w:r>
      <w:r>
        <w:rPr>
          <w:rFonts w:hint="eastAsia" w:ascii="楷体" w:hAnsi="楷体" w:eastAsia="楷体" w:cs="楷体"/>
          <w:spacing w:val="6"/>
          <w:sz w:val="32"/>
          <w:szCs w:val="32"/>
          <w:lang w:eastAsia="zh-CN"/>
        </w:rPr>
        <w:t>有</w:t>
      </w:r>
      <w:r>
        <w:rPr>
          <w:rFonts w:hint="eastAsia" w:ascii="楷体" w:hAnsi="楷体" w:eastAsia="楷体" w:cs="楷体"/>
          <w:spacing w:val="6"/>
          <w:sz w:val="32"/>
          <w:szCs w:val="32"/>
        </w:rPr>
        <w:t>关部门要加快人员账号和“全区通办”</w:t>
      </w:r>
      <w:r>
        <w:rPr>
          <w:rFonts w:hint="eastAsia" w:ascii="楷体" w:hAnsi="楷体" w:eastAsia="楷体" w:cs="楷体"/>
          <w:sz w:val="32"/>
          <w:szCs w:val="32"/>
        </w:rPr>
        <w:t>事项运行配置，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于</w:t>
      </w:r>
      <w:r>
        <w:rPr>
          <w:rFonts w:hint="eastAsia" w:ascii="楷体" w:hAnsi="楷体" w:eastAsia="楷体" w:cs="楷体"/>
          <w:spacing w:val="6"/>
          <w:sz w:val="32"/>
          <w:szCs w:val="32"/>
          <w:lang w:val="en-US" w:eastAsia="zh-CN"/>
        </w:rPr>
        <w:t>2024年6月15日前</w:t>
      </w:r>
      <w:r>
        <w:rPr>
          <w:rFonts w:hint="eastAsia" w:ascii="楷体" w:hAnsi="楷体" w:eastAsia="楷体" w:cs="楷体"/>
          <w:spacing w:val="6"/>
          <w:sz w:val="32"/>
          <w:szCs w:val="32"/>
        </w:rPr>
        <w:t>认领《通办清单》事项，</w:t>
      </w:r>
      <w:r>
        <w:rPr>
          <w:rFonts w:hint="eastAsia" w:ascii="楷体" w:hAnsi="楷体" w:eastAsia="楷体" w:cs="楷体"/>
          <w:sz w:val="32"/>
          <w:szCs w:val="32"/>
        </w:rPr>
        <w:t>并准确配置到全区“综合一窗受理</w:t>
      </w:r>
      <w:r>
        <w:rPr>
          <w:rFonts w:hint="eastAsia" w:ascii="楷体" w:hAnsi="楷体" w:eastAsia="楷体" w:cs="楷体"/>
          <w:bCs/>
          <w:sz w:val="32"/>
          <w:szCs w:val="32"/>
        </w:rPr>
        <w:t>”系统中的“全区通办专区”。</w:t>
      </w:r>
      <w:r>
        <w:rPr>
          <w:rFonts w:hint="eastAsia" w:ascii="楷体" w:hAnsi="楷体" w:eastAsia="楷体" w:cs="楷体"/>
          <w:bCs/>
          <w:spacing w:val="-6"/>
          <w:sz w:val="32"/>
          <w:szCs w:val="32"/>
        </w:rPr>
        <w:t>自治区各</w:t>
      </w:r>
      <w:r>
        <w:rPr>
          <w:rFonts w:hint="eastAsia" w:ascii="楷体" w:hAnsi="楷体" w:eastAsia="楷体" w:cs="楷体"/>
          <w:bCs/>
          <w:spacing w:val="-6"/>
          <w:sz w:val="32"/>
          <w:szCs w:val="32"/>
          <w:lang w:eastAsia="zh-CN"/>
        </w:rPr>
        <w:t>有</w:t>
      </w:r>
      <w:r>
        <w:rPr>
          <w:rFonts w:hint="eastAsia" w:ascii="楷体" w:hAnsi="楷体" w:eastAsia="楷体" w:cs="楷体"/>
          <w:bCs/>
          <w:spacing w:val="-6"/>
          <w:sz w:val="32"/>
          <w:szCs w:val="32"/>
        </w:rPr>
        <w:t>关部门</w:t>
      </w:r>
      <w:r>
        <w:rPr>
          <w:rFonts w:hint="eastAsia" w:ascii="楷体" w:hAnsi="楷体" w:eastAsia="楷体" w:cs="楷体"/>
          <w:bCs/>
          <w:spacing w:val="-6"/>
          <w:sz w:val="32"/>
          <w:szCs w:val="32"/>
          <w:lang w:eastAsia="zh-CN"/>
        </w:rPr>
        <w:t>要</w:t>
      </w:r>
      <w:r>
        <w:rPr>
          <w:rFonts w:hint="eastAsia" w:ascii="楷体" w:hAnsi="楷体" w:eastAsia="楷体" w:cs="楷体"/>
          <w:bCs/>
          <w:spacing w:val="-6"/>
          <w:sz w:val="32"/>
          <w:szCs w:val="32"/>
        </w:rPr>
        <w:t>按照制定“全区通办”事项的统一标准，</w:t>
      </w:r>
      <w:r>
        <w:rPr>
          <w:rFonts w:hint="eastAsia" w:ascii="楷体" w:hAnsi="楷体" w:eastAsia="楷体" w:cs="楷体"/>
          <w:bCs/>
          <w:spacing w:val="-6"/>
          <w:sz w:val="32"/>
          <w:szCs w:val="32"/>
          <w:lang w:eastAsia="zh-CN"/>
        </w:rPr>
        <w:t>于</w:t>
      </w:r>
      <w:r>
        <w:rPr>
          <w:rFonts w:hint="eastAsia" w:ascii="楷体" w:hAnsi="楷体" w:eastAsia="楷体" w:cs="楷体"/>
          <w:bCs/>
          <w:spacing w:val="-6"/>
          <w:sz w:val="32"/>
          <w:szCs w:val="32"/>
          <w:lang w:val="en-US" w:eastAsia="zh-CN"/>
        </w:rPr>
        <w:t>2024年9月底前</w:t>
      </w:r>
      <w:r>
        <w:rPr>
          <w:rFonts w:hint="eastAsia" w:ascii="楷体" w:hAnsi="楷体" w:eastAsia="楷体" w:cs="楷体"/>
          <w:bCs/>
          <w:spacing w:val="-6"/>
          <w:sz w:val="32"/>
          <w:szCs w:val="32"/>
        </w:rPr>
        <w:t>组织</w:t>
      </w:r>
      <w:r>
        <w:rPr>
          <w:rFonts w:hint="eastAsia" w:ascii="楷体" w:hAnsi="楷体" w:eastAsia="楷体" w:cs="楷体"/>
          <w:bCs/>
          <w:spacing w:val="-6"/>
          <w:sz w:val="32"/>
          <w:szCs w:val="32"/>
          <w:lang w:eastAsia="zh-CN"/>
        </w:rPr>
        <w:t>制定</w:t>
      </w:r>
      <w:r>
        <w:rPr>
          <w:rFonts w:hint="eastAsia" w:ascii="楷体" w:hAnsi="楷体" w:eastAsia="楷体" w:cs="楷体"/>
          <w:bCs/>
          <w:spacing w:val="-6"/>
          <w:sz w:val="32"/>
          <w:szCs w:val="32"/>
        </w:rPr>
        <w:t>本系统复用办事指南并在</w:t>
      </w:r>
      <w:r>
        <w:rPr>
          <w:rFonts w:hint="eastAsia" w:ascii="楷体" w:hAnsi="楷体" w:eastAsia="楷体" w:cs="楷体"/>
          <w:bCs/>
          <w:spacing w:val="-6"/>
          <w:sz w:val="32"/>
          <w:szCs w:val="32"/>
          <w:lang w:eastAsia="zh-CN"/>
        </w:rPr>
        <w:t>“</w:t>
      </w:r>
      <w:r>
        <w:rPr>
          <w:rFonts w:hint="eastAsia" w:ascii="楷体" w:hAnsi="楷体" w:eastAsia="楷体" w:cs="楷体"/>
          <w:bCs/>
          <w:spacing w:val="-6"/>
          <w:sz w:val="32"/>
          <w:szCs w:val="32"/>
        </w:rPr>
        <w:t>内蒙古政务服务网</w:t>
      </w:r>
      <w:r>
        <w:rPr>
          <w:rFonts w:hint="eastAsia" w:ascii="楷体" w:hAnsi="楷体" w:eastAsia="楷体" w:cs="楷体"/>
          <w:bCs/>
          <w:spacing w:val="-6"/>
          <w:sz w:val="32"/>
          <w:szCs w:val="32"/>
          <w:lang w:eastAsia="zh-CN"/>
        </w:rPr>
        <w:t>”上</w:t>
      </w:r>
      <w:r>
        <w:rPr>
          <w:rFonts w:hint="eastAsia" w:ascii="楷体" w:hAnsi="楷体" w:eastAsia="楷体" w:cs="楷体"/>
          <w:bCs/>
          <w:spacing w:val="-6"/>
          <w:sz w:val="32"/>
          <w:szCs w:val="32"/>
        </w:rPr>
        <w:t>公布，盟市、旗县</w:t>
      </w:r>
      <w:r>
        <w:rPr>
          <w:rFonts w:hint="eastAsia" w:ascii="楷体" w:hAnsi="楷体" w:eastAsia="楷体" w:cs="楷体"/>
          <w:bCs/>
          <w:spacing w:val="-6"/>
          <w:sz w:val="32"/>
          <w:szCs w:val="32"/>
          <w:lang w:eastAsia="zh-CN"/>
        </w:rPr>
        <w:t>（市、区）</w:t>
      </w:r>
      <w:r>
        <w:rPr>
          <w:rFonts w:hint="eastAsia" w:ascii="楷体" w:hAnsi="楷体" w:eastAsia="楷体" w:cs="楷体"/>
          <w:bCs/>
          <w:spacing w:val="-6"/>
          <w:sz w:val="32"/>
          <w:szCs w:val="32"/>
        </w:rPr>
        <w:t>层面不得随意修改办事指南</w:t>
      </w:r>
      <w:r>
        <w:rPr>
          <w:rFonts w:hint="eastAsia" w:ascii="楷体" w:hAnsi="楷体" w:eastAsia="楷体" w:cs="楷体"/>
          <w:bCs/>
          <w:spacing w:val="-6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健全配套制度标准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推动各地区各部门细化制定相关配套政策和规则标准，</w:t>
      </w:r>
      <w:r>
        <w:rPr>
          <w:rFonts w:hint="eastAsia" w:ascii="楷体" w:hAnsi="楷体" w:eastAsia="楷体" w:cs="楷体"/>
          <w:bCs/>
          <w:sz w:val="32"/>
          <w:szCs w:val="32"/>
          <w:lang w:eastAsia="zh-CN"/>
        </w:rPr>
        <w:t>于</w:t>
      </w:r>
      <w:r>
        <w:rPr>
          <w:rFonts w:hint="eastAsia" w:ascii="楷体" w:hAnsi="楷体" w:eastAsia="楷体" w:cs="楷体"/>
          <w:bCs/>
          <w:sz w:val="32"/>
          <w:szCs w:val="32"/>
          <w:lang w:val="en-US" w:eastAsia="zh-CN"/>
        </w:rPr>
        <w:t>2024年10月底前</w:t>
      </w:r>
      <w:r>
        <w:rPr>
          <w:rFonts w:hint="eastAsia" w:ascii="楷体" w:hAnsi="楷体" w:eastAsia="楷体" w:cs="楷体"/>
          <w:bCs/>
          <w:sz w:val="32"/>
          <w:szCs w:val="32"/>
        </w:rPr>
        <w:t>制定出台“全区通办”业务操作指南、运行规则等配套制度，加快形成一套健全完善的运行机制，进一步提高协同办理效率。同时，要针对“全区通办”后可能出现的新情况新问题，及时调整完善监管政策，保护好国家秘密、商业秘密和个人隐私，防止</w:t>
      </w:r>
      <w:r>
        <w:rPr>
          <w:rFonts w:hint="eastAsia" w:ascii="楷体" w:hAnsi="楷体" w:eastAsia="楷体" w:cs="楷体"/>
          <w:bCs/>
          <w:sz w:val="32"/>
          <w:szCs w:val="32"/>
          <w:lang w:eastAsia="zh-CN"/>
        </w:rPr>
        <w:t>信息</w:t>
      </w:r>
      <w:r>
        <w:rPr>
          <w:rFonts w:hint="eastAsia" w:ascii="楷体" w:hAnsi="楷体" w:eastAsia="楷体" w:cs="楷体"/>
          <w:bCs/>
          <w:sz w:val="32"/>
          <w:szCs w:val="32"/>
        </w:rPr>
        <w:t>滥用或泄露。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推动数据高值利用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加快推进“</w:t>
      </w:r>
      <w:r>
        <w:rPr>
          <w:rFonts w:hint="eastAsia" w:ascii="楷体" w:hAnsi="楷体" w:eastAsia="楷体" w:cs="楷体"/>
          <w:b w:val="0"/>
          <w:sz w:val="32"/>
          <w:szCs w:val="32"/>
        </w:rPr>
        <w:t>全区通办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”</w:t>
      </w:r>
      <w:r>
        <w:rPr>
          <w:rFonts w:hint="eastAsia" w:ascii="楷体" w:hAnsi="楷体" w:eastAsia="楷体" w:cs="楷体"/>
          <w:b w:val="0"/>
          <w:sz w:val="32"/>
          <w:szCs w:val="32"/>
        </w:rPr>
        <w:t>事项实现“一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网通办”。以“全区通办”业务应用需求为导向，梳理数据共享“三清单”，对照数据需求清单，逐项明确数据所属部门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所在系统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共享方式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以及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共享频率，完善数据资源目录，打通数据壁垒，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于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2024年11月底前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实现跨层级、跨地域、跨系统、跨部门、跨业务数据按需共享共用。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强化责任落实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自治区政务服务与数据管理局要发挥牵头抓总作用，做好沟通协调，建立工作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清单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，明确时间表、路线图，实行“周调度、月通报”，推动工作落实。自治区各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有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关部门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要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按照职责分工，加大对主管行业领域“全区通办”的支持力度，加强业务培训指导，强化政策宣传推广，加快工作进度，确保本系统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本领域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任务尽快落地见效。各地区要按照自治区要求，加快推进本地区“全区通办”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相关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工作。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</w:rPr>
      </w:pP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 xml:space="preserve">                             2024年5月21日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（此件公开发布）</w:t>
      </w:r>
    </w:p>
    <w:p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楷体_GBK" w:hAnsi="方正楷体_GBK" w:eastAsia="方正楷体_GBK" w:cs="方正楷体_GBK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74" w:bottom="1701" w:left="1474" w:header="851" w:footer="1304" w:gutter="0"/>
          <w:paperSrc/>
          <w:pgNumType w:fmt="numberInDash"/>
          <w:cols w:space="720" w:num="1"/>
          <w:rtlGutter w:val="0"/>
          <w:docGrid w:type="lines" w:linePitch="312" w:charSpace="0"/>
        </w:sect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462270" cy="8098790"/>
            <wp:effectExtent l="0" t="0" r="5080" b="16510"/>
            <wp:docPr id="2" name="图片 2" descr="内政办发21号_页面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内政办发21号_页面_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80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17210" cy="8040370"/>
            <wp:effectExtent l="0" t="0" r="2540" b="17780"/>
            <wp:docPr id="3" name="图片 3" descr="内政办发21号_页面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内政办发21号_页面_0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804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77200"/>
            <wp:effectExtent l="0" t="0" r="635" b="0"/>
            <wp:docPr id="4" name="图片 4" descr="内政办发21号_页面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内政办发21号_页面_0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bookmarkStart w:id="1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19415"/>
            <wp:effectExtent l="0" t="0" r="635" b="635"/>
            <wp:docPr id="5" name="图片 5" descr="内政办发21号_页面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内政办发21号_页面_0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1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7970520"/>
            <wp:effectExtent l="0" t="0" r="635" b="11430"/>
            <wp:docPr id="6" name="图片 6" descr="内政办发21号_页面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内政办发21号_页面_0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7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28305"/>
            <wp:effectExtent l="0" t="0" r="635" b="10795"/>
            <wp:docPr id="7" name="图片 7" descr="内政办发21号_页面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内政办发21号_页面_0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2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34655"/>
            <wp:effectExtent l="0" t="0" r="635" b="4445"/>
            <wp:docPr id="8" name="图片 8" descr="内政办发21号_页面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内政办发21号_页面_0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3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65135"/>
            <wp:effectExtent l="0" t="0" r="635" b="12065"/>
            <wp:docPr id="9" name="图片 9" descr="内政办发21号_页面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内政办发21号_页面_0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6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34655"/>
            <wp:effectExtent l="0" t="0" r="635" b="4445"/>
            <wp:docPr id="10" name="图片 10" descr="内政办发21号_页面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内政办发21号_页面_0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3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92440"/>
            <wp:effectExtent l="0" t="0" r="635" b="3810"/>
            <wp:docPr id="11" name="图片 11" descr="内政办发21号_页面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内政办发21号_页面_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9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92440"/>
            <wp:effectExtent l="0" t="0" r="635" b="3810"/>
            <wp:docPr id="12" name="图片 12" descr="内政办发21号_页面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内政办发21号_页面_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9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40370"/>
            <wp:effectExtent l="0" t="0" r="635" b="17780"/>
            <wp:docPr id="13" name="图片 13" descr="内政办发21号_页面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内政办发21号_页面_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4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19415"/>
            <wp:effectExtent l="0" t="0" r="635" b="635"/>
            <wp:docPr id="14" name="图片 14" descr="内政办发21号_页面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内政办发21号_页面_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1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58785"/>
            <wp:effectExtent l="0" t="0" r="635" b="18415"/>
            <wp:docPr id="15" name="图片 15" descr="内政办发21号_页面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内政办发21号_页面_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5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07350"/>
            <wp:effectExtent l="0" t="0" r="635" b="12700"/>
            <wp:docPr id="16" name="图片 16" descr="内政办发21号_页面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内政办发21号_页面_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0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77200"/>
            <wp:effectExtent l="0" t="0" r="635" b="0"/>
            <wp:docPr id="17" name="图片 17" descr="内政办发21号_页面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内政办发21号_页面_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46720"/>
            <wp:effectExtent l="0" t="0" r="635" b="11430"/>
            <wp:docPr id="18" name="图片 18" descr="内政办发21号_页面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内政办发21号_页面_1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4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13065"/>
            <wp:effectExtent l="0" t="0" r="635" b="6985"/>
            <wp:docPr id="19" name="图片 19" descr="内政办发21号_页面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内政办发21号_页面_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1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01000"/>
            <wp:effectExtent l="0" t="0" r="635" b="0"/>
            <wp:docPr id="20" name="图片 20" descr="内政办发21号_页面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内政办发21号_页面_1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7994650"/>
            <wp:effectExtent l="0" t="0" r="635" b="6350"/>
            <wp:docPr id="21" name="图片 21" descr="内政办发21号_页面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内政办发21号_页面_2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799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70850"/>
            <wp:effectExtent l="0" t="0" r="635" b="6350"/>
            <wp:docPr id="22" name="图片 22" descr="内政办发21号_页面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内政办发21号_页面_2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7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01000"/>
            <wp:effectExtent l="0" t="0" r="635" b="0"/>
            <wp:docPr id="23" name="图片 23" descr="内政办发21号_页面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内政办发21号_页面_2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7988935"/>
            <wp:effectExtent l="0" t="0" r="635" b="12065"/>
            <wp:docPr id="24" name="图片 24" descr="内政办发21号_页面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内政办发21号_页面_2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798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77200"/>
            <wp:effectExtent l="0" t="0" r="635" b="0"/>
            <wp:docPr id="25" name="图片 25" descr="内政办发21号_页面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内政办发21号_页面_2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46720"/>
            <wp:effectExtent l="0" t="0" r="635" b="11430"/>
            <wp:docPr id="26" name="图片 26" descr="内政办发21号_页面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内政办发21号_页面_2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4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58785"/>
            <wp:effectExtent l="0" t="0" r="635" b="18415"/>
            <wp:docPr id="27" name="图片 27" descr="内政办发21号_页面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内政办发21号_页面_2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5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70850"/>
            <wp:effectExtent l="0" t="0" r="635" b="6350"/>
            <wp:docPr id="28" name="图片 28" descr="内政办发21号_页面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内政办发21号_页面_2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7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81015" cy="8053070"/>
            <wp:effectExtent l="0" t="0" r="635" b="5080"/>
            <wp:docPr id="29" name="图片 29" descr="内政办发21号_页面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内政办发21号_页面_2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05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  <w:sectPr>
          <w:footerReference r:id="rId7" w:type="default"/>
          <w:footerReference r:id="rId8" w:type="even"/>
          <w:pgSz w:w="11906" w:h="16838"/>
          <w:pgMar w:top="2098" w:right="1474" w:bottom="1701" w:left="1474" w:header="851" w:footer="1304" w:gutter="0"/>
          <w:paperSrc/>
          <w:pgNumType w:fmt="numberInDash"/>
          <w:cols w:space="720" w:num="1"/>
          <w:rtlGutter w:val="0"/>
          <w:docGrid w:type="lines" w:linePitch="312" w:charSpace="0"/>
        </w:sect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18"/>
        <w:tblW w:w="8952" w:type="dxa"/>
        <w:tblInd w:w="95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95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210" w:rightChars="100"/>
              <w:textAlignment w:val="auto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抄送：自治区党委各部门，内蒙古军区，武警内蒙古总队。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8" w:leftChars="504" w:right="210" w:rightChars="100" w:firstLine="0" w:firstLineChars="0"/>
              <w:textAlignment w:val="auto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自治区人大常委会办公厅、政协办公厅，</w:t>
            </w:r>
            <w:r>
              <w:rPr>
                <w:rFonts w:hint="eastAsia" w:ascii="仿宋" w:hAnsi="仿宋" w:eastAsia="仿宋" w:cs="仿宋"/>
                <w:sz w:val="28"/>
                <w:lang w:eastAsia="zh-CN"/>
              </w:rPr>
              <w:t>自治区监委，自治区</w:t>
            </w:r>
            <w:r>
              <w:rPr>
                <w:rFonts w:hint="eastAsia" w:ascii="仿宋" w:hAnsi="仿宋" w:eastAsia="仿宋" w:cs="仿宋"/>
                <w:sz w:val="28"/>
              </w:rPr>
              <w:t>高级人民法院，检察院。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210" w:rightChars="100" w:firstLine="1058" w:firstLineChars="378"/>
              <w:textAlignment w:val="auto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各人民团体，新闻单位。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 w:right="210" w:rightChars="100"/>
              <w:textAlignment w:val="auto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内蒙古自治区人民政府办公厅文电处       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8"/>
              </w:rPr>
              <w:t>日印发</w:t>
            </w:r>
          </w:p>
        </w:tc>
      </w:tr>
    </w:tbl>
    <w:p>
      <w:pPr>
        <w:rPr>
          <w:rFonts w:hint="eastAsia"/>
        </w:rPr>
      </w:pPr>
      <w:bookmarkStart w:id="0" w:name="二维条码"/>
      <w:bookmarkEnd w:id="0"/>
      <w:r>
        <w:rPr>
          <w:rFonts w:hint="eastAsia" w:eastAsia="宋体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231775</wp:posOffset>
            </wp:positionV>
            <wp:extent cx="1790700" cy="419100"/>
            <wp:effectExtent l="0" t="0" r="0" b="0"/>
            <wp:wrapNone/>
            <wp:docPr id="1" name="图片 6" descr="NZBF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NZBF2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r:id="rId9" w:type="default"/>
      <w:footerReference r:id="rId10" w:type="even"/>
      <w:pgSz w:w="11906" w:h="16838"/>
      <w:pgMar w:top="2098" w:right="1474" w:bottom="1701" w:left="1474" w:header="851" w:footer="1304" w:gutter="0"/>
      <w:paperSrc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华文仿宋">
    <w:altName w:val="方正仿宋_GBK"/>
    <w:panose1 w:val="02010600040101010101"/>
    <w:charset w:val="00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Style w:val="21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21"/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1"/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B8jbPnCAQAAc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Style w:val="21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21"/>
                        <w:rFonts w:hint="eastAsia"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21"/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Style w:val="21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21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1"/>
                              <w:rFonts w:ascii="宋体" w:hAnsi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Cb1PTQwwEAAHE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Style w:val="21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21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21"/>
                        <w:rFonts w:ascii="宋体" w:hAnsi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t>- 5 -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tJ2a4MQBAABx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t>- 5 -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t>- 6 -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kzvFg8QBAABx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t>- 6 -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EF6CE7A"/>
    <w:multiLevelType w:val="singleLevel"/>
    <w:tmpl w:val="FEF6CE7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revisionView w:markup="0"/>
  <w:documentProtection w:edit="trackedChanges"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55"/>
    <w:rsid w:val="0000053B"/>
    <w:rsid w:val="00000BC8"/>
    <w:rsid w:val="00000D35"/>
    <w:rsid w:val="00000E8A"/>
    <w:rsid w:val="00001A5E"/>
    <w:rsid w:val="0001025F"/>
    <w:rsid w:val="00010E72"/>
    <w:rsid w:val="00010FBD"/>
    <w:rsid w:val="000134B5"/>
    <w:rsid w:val="0001572E"/>
    <w:rsid w:val="0001671F"/>
    <w:rsid w:val="0001751F"/>
    <w:rsid w:val="00017973"/>
    <w:rsid w:val="00017C56"/>
    <w:rsid w:val="00017C8E"/>
    <w:rsid w:val="00021290"/>
    <w:rsid w:val="000228A4"/>
    <w:rsid w:val="00024FC9"/>
    <w:rsid w:val="00025291"/>
    <w:rsid w:val="0003004C"/>
    <w:rsid w:val="000305B6"/>
    <w:rsid w:val="00031020"/>
    <w:rsid w:val="00036CC9"/>
    <w:rsid w:val="00037A1D"/>
    <w:rsid w:val="0004119F"/>
    <w:rsid w:val="00041495"/>
    <w:rsid w:val="00043109"/>
    <w:rsid w:val="00043BA4"/>
    <w:rsid w:val="00045126"/>
    <w:rsid w:val="00047737"/>
    <w:rsid w:val="0005120B"/>
    <w:rsid w:val="00053149"/>
    <w:rsid w:val="00055C21"/>
    <w:rsid w:val="00056556"/>
    <w:rsid w:val="00060597"/>
    <w:rsid w:val="00060CE0"/>
    <w:rsid w:val="000615CF"/>
    <w:rsid w:val="0006347A"/>
    <w:rsid w:val="000671EE"/>
    <w:rsid w:val="00070196"/>
    <w:rsid w:val="000701C3"/>
    <w:rsid w:val="00071DE3"/>
    <w:rsid w:val="00071E83"/>
    <w:rsid w:val="0007324B"/>
    <w:rsid w:val="00074623"/>
    <w:rsid w:val="00076F96"/>
    <w:rsid w:val="00082970"/>
    <w:rsid w:val="0008397E"/>
    <w:rsid w:val="00090E87"/>
    <w:rsid w:val="00090EB2"/>
    <w:rsid w:val="00097E64"/>
    <w:rsid w:val="000A1E68"/>
    <w:rsid w:val="000A2307"/>
    <w:rsid w:val="000A26F8"/>
    <w:rsid w:val="000A3DA4"/>
    <w:rsid w:val="000A51DB"/>
    <w:rsid w:val="000A7F88"/>
    <w:rsid w:val="000B0241"/>
    <w:rsid w:val="000B182B"/>
    <w:rsid w:val="000B2C2B"/>
    <w:rsid w:val="000B318D"/>
    <w:rsid w:val="000B483E"/>
    <w:rsid w:val="000B76CD"/>
    <w:rsid w:val="000D1918"/>
    <w:rsid w:val="000D2276"/>
    <w:rsid w:val="000D46E6"/>
    <w:rsid w:val="000D4B7C"/>
    <w:rsid w:val="000E189F"/>
    <w:rsid w:val="000E242A"/>
    <w:rsid w:val="000E2DE0"/>
    <w:rsid w:val="000E4A4D"/>
    <w:rsid w:val="000E5531"/>
    <w:rsid w:val="000E6931"/>
    <w:rsid w:val="000F0166"/>
    <w:rsid w:val="000F1D11"/>
    <w:rsid w:val="000F3390"/>
    <w:rsid w:val="000F3786"/>
    <w:rsid w:val="000F3C60"/>
    <w:rsid w:val="000F7B4B"/>
    <w:rsid w:val="00100F1E"/>
    <w:rsid w:val="00104732"/>
    <w:rsid w:val="00104FB1"/>
    <w:rsid w:val="001106F2"/>
    <w:rsid w:val="00110B09"/>
    <w:rsid w:val="0011191E"/>
    <w:rsid w:val="001147E4"/>
    <w:rsid w:val="00114AC4"/>
    <w:rsid w:val="00114FD2"/>
    <w:rsid w:val="001166E7"/>
    <w:rsid w:val="00117691"/>
    <w:rsid w:val="0012067D"/>
    <w:rsid w:val="00120FA6"/>
    <w:rsid w:val="00121523"/>
    <w:rsid w:val="00121A80"/>
    <w:rsid w:val="0012298D"/>
    <w:rsid w:val="00122EA1"/>
    <w:rsid w:val="00124296"/>
    <w:rsid w:val="001243C4"/>
    <w:rsid w:val="0012798F"/>
    <w:rsid w:val="00127D04"/>
    <w:rsid w:val="001303D3"/>
    <w:rsid w:val="001316F8"/>
    <w:rsid w:val="00132688"/>
    <w:rsid w:val="00132E64"/>
    <w:rsid w:val="001332BC"/>
    <w:rsid w:val="001340AD"/>
    <w:rsid w:val="0013461A"/>
    <w:rsid w:val="00137385"/>
    <w:rsid w:val="00140625"/>
    <w:rsid w:val="00142107"/>
    <w:rsid w:val="00145C0B"/>
    <w:rsid w:val="00145D2E"/>
    <w:rsid w:val="00146D53"/>
    <w:rsid w:val="00147907"/>
    <w:rsid w:val="00151C4B"/>
    <w:rsid w:val="00151F28"/>
    <w:rsid w:val="00153017"/>
    <w:rsid w:val="00155A0E"/>
    <w:rsid w:val="001602EE"/>
    <w:rsid w:val="001608F4"/>
    <w:rsid w:val="0016554C"/>
    <w:rsid w:val="00166461"/>
    <w:rsid w:val="0016715A"/>
    <w:rsid w:val="001679C2"/>
    <w:rsid w:val="00170824"/>
    <w:rsid w:val="0017273F"/>
    <w:rsid w:val="00172ABF"/>
    <w:rsid w:val="00173AA9"/>
    <w:rsid w:val="00177B68"/>
    <w:rsid w:val="00180CF8"/>
    <w:rsid w:val="00182DBF"/>
    <w:rsid w:val="00183AA6"/>
    <w:rsid w:val="001844AF"/>
    <w:rsid w:val="00184638"/>
    <w:rsid w:val="00187037"/>
    <w:rsid w:val="00194319"/>
    <w:rsid w:val="001948D4"/>
    <w:rsid w:val="00197198"/>
    <w:rsid w:val="001A0A30"/>
    <w:rsid w:val="001A102B"/>
    <w:rsid w:val="001A2BD2"/>
    <w:rsid w:val="001A3639"/>
    <w:rsid w:val="001A72B0"/>
    <w:rsid w:val="001B2E25"/>
    <w:rsid w:val="001B36FF"/>
    <w:rsid w:val="001B6A85"/>
    <w:rsid w:val="001C21AB"/>
    <w:rsid w:val="001C291D"/>
    <w:rsid w:val="001C2E2C"/>
    <w:rsid w:val="001C2FB0"/>
    <w:rsid w:val="001C3230"/>
    <w:rsid w:val="001C4131"/>
    <w:rsid w:val="001C472D"/>
    <w:rsid w:val="001D0ADB"/>
    <w:rsid w:val="001D2A39"/>
    <w:rsid w:val="001D2EC2"/>
    <w:rsid w:val="001D3381"/>
    <w:rsid w:val="001D38D9"/>
    <w:rsid w:val="001D42FD"/>
    <w:rsid w:val="001D50C7"/>
    <w:rsid w:val="001D62F3"/>
    <w:rsid w:val="001E1712"/>
    <w:rsid w:val="001E3AE1"/>
    <w:rsid w:val="001E4564"/>
    <w:rsid w:val="001E463E"/>
    <w:rsid w:val="001E48FC"/>
    <w:rsid w:val="001E51E8"/>
    <w:rsid w:val="001E5A4A"/>
    <w:rsid w:val="001F077E"/>
    <w:rsid w:val="001F275C"/>
    <w:rsid w:val="001F4B62"/>
    <w:rsid w:val="001F53DE"/>
    <w:rsid w:val="002014F1"/>
    <w:rsid w:val="002016DC"/>
    <w:rsid w:val="00202305"/>
    <w:rsid w:val="002037DD"/>
    <w:rsid w:val="00203FE2"/>
    <w:rsid w:val="00205C6F"/>
    <w:rsid w:val="002112BA"/>
    <w:rsid w:val="00211B40"/>
    <w:rsid w:val="0021430F"/>
    <w:rsid w:val="0022010B"/>
    <w:rsid w:val="00222BE8"/>
    <w:rsid w:val="00225BC5"/>
    <w:rsid w:val="00226765"/>
    <w:rsid w:val="002301CC"/>
    <w:rsid w:val="00230DF7"/>
    <w:rsid w:val="00233CA4"/>
    <w:rsid w:val="00237D8D"/>
    <w:rsid w:val="00243573"/>
    <w:rsid w:val="002438BD"/>
    <w:rsid w:val="00244F58"/>
    <w:rsid w:val="002502FA"/>
    <w:rsid w:val="002508F6"/>
    <w:rsid w:val="00253497"/>
    <w:rsid w:val="00253505"/>
    <w:rsid w:val="002537D8"/>
    <w:rsid w:val="00253D8D"/>
    <w:rsid w:val="00254C91"/>
    <w:rsid w:val="0026009A"/>
    <w:rsid w:val="00260B18"/>
    <w:rsid w:val="00261C1B"/>
    <w:rsid w:val="00263BB4"/>
    <w:rsid w:val="00264B5A"/>
    <w:rsid w:val="00265F33"/>
    <w:rsid w:val="002701FE"/>
    <w:rsid w:val="00271599"/>
    <w:rsid w:val="002750B4"/>
    <w:rsid w:val="002755E6"/>
    <w:rsid w:val="00277086"/>
    <w:rsid w:val="0027732C"/>
    <w:rsid w:val="00284880"/>
    <w:rsid w:val="00286092"/>
    <w:rsid w:val="00290135"/>
    <w:rsid w:val="00294F4F"/>
    <w:rsid w:val="0029606D"/>
    <w:rsid w:val="002973C7"/>
    <w:rsid w:val="002A0CAD"/>
    <w:rsid w:val="002A32E1"/>
    <w:rsid w:val="002A3E00"/>
    <w:rsid w:val="002A5246"/>
    <w:rsid w:val="002A64B4"/>
    <w:rsid w:val="002A67EB"/>
    <w:rsid w:val="002A7BF8"/>
    <w:rsid w:val="002B0F91"/>
    <w:rsid w:val="002B4292"/>
    <w:rsid w:val="002B4C83"/>
    <w:rsid w:val="002C0358"/>
    <w:rsid w:val="002C048B"/>
    <w:rsid w:val="002C1222"/>
    <w:rsid w:val="002C2F22"/>
    <w:rsid w:val="002C409D"/>
    <w:rsid w:val="002C41C0"/>
    <w:rsid w:val="002C4FC3"/>
    <w:rsid w:val="002C5B09"/>
    <w:rsid w:val="002D063C"/>
    <w:rsid w:val="002D2CF6"/>
    <w:rsid w:val="002D31DC"/>
    <w:rsid w:val="002D3F3C"/>
    <w:rsid w:val="002D4032"/>
    <w:rsid w:val="002D5A5E"/>
    <w:rsid w:val="002D7462"/>
    <w:rsid w:val="002E0919"/>
    <w:rsid w:val="002E2F22"/>
    <w:rsid w:val="002E3CC3"/>
    <w:rsid w:val="002F5BA9"/>
    <w:rsid w:val="00301AC3"/>
    <w:rsid w:val="00302690"/>
    <w:rsid w:val="00302982"/>
    <w:rsid w:val="00303418"/>
    <w:rsid w:val="00316104"/>
    <w:rsid w:val="00317237"/>
    <w:rsid w:val="00321960"/>
    <w:rsid w:val="00322E30"/>
    <w:rsid w:val="00324C04"/>
    <w:rsid w:val="003340DF"/>
    <w:rsid w:val="00334343"/>
    <w:rsid w:val="003347A0"/>
    <w:rsid w:val="00336F88"/>
    <w:rsid w:val="00340FF0"/>
    <w:rsid w:val="00341A6E"/>
    <w:rsid w:val="00342CC3"/>
    <w:rsid w:val="00343E0C"/>
    <w:rsid w:val="00344DA3"/>
    <w:rsid w:val="00350F9A"/>
    <w:rsid w:val="00351987"/>
    <w:rsid w:val="00351F4C"/>
    <w:rsid w:val="00352A64"/>
    <w:rsid w:val="0035334E"/>
    <w:rsid w:val="003557E4"/>
    <w:rsid w:val="00361A29"/>
    <w:rsid w:val="0036715B"/>
    <w:rsid w:val="00367E4A"/>
    <w:rsid w:val="00371465"/>
    <w:rsid w:val="0037414E"/>
    <w:rsid w:val="0037427E"/>
    <w:rsid w:val="00375606"/>
    <w:rsid w:val="00381A7A"/>
    <w:rsid w:val="00385438"/>
    <w:rsid w:val="003878A5"/>
    <w:rsid w:val="00390619"/>
    <w:rsid w:val="00390C49"/>
    <w:rsid w:val="0039202C"/>
    <w:rsid w:val="00392B94"/>
    <w:rsid w:val="00393F4B"/>
    <w:rsid w:val="00394377"/>
    <w:rsid w:val="003948FC"/>
    <w:rsid w:val="003978C8"/>
    <w:rsid w:val="003A0463"/>
    <w:rsid w:val="003A0C24"/>
    <w:rsid w:val="003A2485"/>
    <w:rsid w:val="003A264D"/>
    <w:rsid w:val="003A31A0"/>
    <w:rsid w:val="003A326C"/>
    <w:rsid w:val="003A3696"/>
    <w:rsid w:val="003A42FA"/>
    <w:rsid w:val="003A5841"/>
    <w:rsid w:val="003A6755"/>
    <w:rsid w:val="003B1AA3"/>
    <w:rsid w:val="003B32B0"/>
    <w:rsid w:val="003B59D9"/>
    <w:rsid w:val="003C1EB9"/>
    <w:rsid w:val="003C3249"/>
    <w:rsid w:val="003C3EA0"/>
    <w:rsid w:val="003C419C"/>
    <w:rsid w:val="003C41EC"/>
    <w:rsid w:val="003C4942"/>
    <w:rsid w:val="003D01EF"/>
    <w:rsid w:val="003D14CC"/>
    <w:rsid w:val="003D3B34"/>
    <w:rsid w:val="003D46AE"/>
    <w:rsid w:val="003E323B"/>
    <w:rsid w:val="003E39D4"/>
    <w:rsid w:val="003E549A"/>
    <w:rsid w:val="003E5A89"/>
    <w:rsid w:val="003F0B67"/>
    <w:rsid w:val="003F1F24"/>
    <w:rsid w:val="003F595E"/>
    <w:rsid w:val="003F6574"/>
    <w:rsid w:val="003F6E09"/>
    <w:rsid w:val="003F728E"/>
    <w:rsid w:val="00402EDB"/>
    <w:rsid w:val="004100FD"/>
    <w:rsid w:val="0041232A"/>
    <w:rsid w:val="004125FC"/>
    <w:rsid w:val="00412AD9"/>
    <w:rsid w:val="00415492"/>
    <w:rsid w:val="004178C8"/>
    <w:rsid w:val="00423C35"/>
    <w:rsid w:val="004278D4"/>
    <w:rsid w:val="00430D45"/>
    <w:rsid w:val="00431DA3"/>
    <w:rsid w:val="00432A0C"/>
    <w:rsid w:val="00433DE5"/>
    <w:rsid w:val="00437A54"/>
    <w:rsid w:val="00442031"/>
    <w:rsid w:val="004443C8"/>
    <w:rsid w:val="0044481F"/>
    <w:rsid w:val="004454F7"/>
    <w:rsid w:val="00450079"/>
    <w:rsid w:val="004504E7"/>
    <w:rsid w:val="0045373C"/>
    <w:rsid w:val="00453C0B"/>
    <w:rsid w:val="00456071"/>
    <w:rsid w:val="00456737"/>
    <w:rsid w:val="00456A72"/>
    <w:rsid w:val="00456A79"/>
    <w:rsid w:val="00461EDE"/>
    <w:rsid w:val="004638A8"/>
    <w:rsid w:val="00470220"/>
    <w:rsid w:val="00471E78"/>
    <w:rsid w:val="0047252B"/>
    <w:rsid w:val="00472C32"/>
    <w:rsid w:val="00472D58"/>
    <w:rsid w:val="00473996"/>
    <w:rsid w:val="0047592F"/>
    <w:rsid w:val="004767E9"/>
    <w:rsid w:val="00476AF1"/>
    <w:rsid w:val="00477EF4"/>
    <w:rsid w:val="004823A5"/>
    <w:rsid w:val="00484559"/>
    <w:rsid w:val="004852B6"/>
    <w:rsid w:val="004854B1"/>
    <w:rsid w:val="004876D3"/>
    <w:rsid w:val="004909BB"/>
    <w:rsid w:val="0049197F"/>
    <w:rsid w:val="00493DD9"/>
    <w:rsid w:val="00496CF3"/>
    <w:rsid w:val="00496D57"/>
    <w:rsid w:val="004A135E"/>
    <w:rsid w:val="004A373F"/>
    <w:rsid w:val="004A464E"/>
    <w:rsid w:val="004A4859"/>
    <w:rsid w:val="004B0832"/>
    <w:rsid w:val="004B1D23"/>
    <w:rsid w:val="004B5CC9"/>
    <w:rsid w:val="004B72BC"/>
    <w:rsid w:val="004C0FC4"/>
    <w:rsid w:val="004C1246"/>
    <w:rsid w:val="004C1EC2"/>
    <w:rsid w:val="004C4F15"/>
    <w:rsid w:val="004C61B8"/>
    <w:rsid w:val="004C7700"/>
    <w:rsid w:val="004D028D"/>
    <w:rsid w:val="004D3D71"/>
    <w:rsid w:val="004D4FBD"/>
    <w:rsid w:val="004E1031"/>
    <w:rsid w:val="004E16F4"/>
    <w:rsid w:val="004E2788"/>
    <w:rsid w:val="004E28A4"/>
    <w:rsid w:val="004E3E2A"/>
    <w:rsid w:val="004E441F"/>
    <w:rsid w:val="004F0E59"/>
    <w:rsid w:val="004F1A93"/>
    <w:rsid w:val="004F27DA"/>
    <w:rsid w:val="004F29A2"/>
    <w:rsid w:val="004F2EAE"/>
    <w:rsid w:val="004F2FDA"/>
    <w:rsid w:val="004F49DE"/>
    <w:rsid w:val="004F4C83"/>
    <w:rsid w:val="004F564A"/>
    <w:rsid w:val="004F6088"/>
    <w:rsid w:val="0050055F"/>
    <w:rsid w:val="00501A8E"/>
    <w:rsid w:val="00502983"/>
    <w:rsid w:val="005045F2"/>
    <w:rsid w:val="0051102B"/>
    <w:rsid w:val="0051110B"/>
    <w:rsid w:val="00513E02"/>
    <w:rsid w:val="005141F0"/>
    <w:rsid w:val="00514727"/>
    <w:rsid w:val="0051691A"/>
    <w:rsid w:val="005216DB"/>
    <w:rsid w:val="00522BE1"/>
    <w:rsid w:val="00525134"/>
    <w:rsid w:val="00527055"/>
    <w:rsid w:val="00527860"/>
    <w:rsid w:val="005302E8"/>
    <w:rsid w:val="00537C60"/>
    <w:rsid w:val="005403BB"/>
    <w:rsid w:val="00540508"/>
    <w:rsid w:val="00541462"/>
    <w:rsid w:val="00545692"/>
    <w:rsid w:val="00547939"/>
    <w:rsid w:val="0055006E"/>
    <w:rsid w:val="005528A4"/>
    <w:rsid w:val="0055343F"/>
    <w:rsid w:val="005538B1"/>
    <w:rsid w:val="005570A3"/>
    <w:rsid w:val="00557BB6"/>
    <w:rsid w:val="005617E0"/>
    <w:rsid w:val="005618EC"/>
    <w:rsid w:val="005623D2"/>
    <w:rsid w:val="0056793D"/>
    <w:rsid w:val="00570476"/>
    <w:rsid w:val="005758B0"/>
    <w:rsid w:val="0057593B"/>
    <w:rsid w:val="005761DA"/>
    <w:rsid w:val="00576B9B"/>
    <w:rsid w:val="005775A5"/>
    <w:rsid w:val="00577A94"/>
    <w:rsid w:val="00577CD6"/>
    <w:rsid w:val="00581C4B"/>
    <w:rsid w:val="005820C9"/>
    <w:rsid w:val="00582F58"/>
    <w:rsid w:val="005847C1"/>
    <w:rsid w:val="005903E6"/>
    <w:rsid w:val="005906A6"/>
    <w:rsid w:val="00590E74"/>
    <w:rsid w:val="00593B63"/>
    <w:rsid w:val="005A1F8D"/>
    <w:rsid w:val="005A6087"/>
    <w:rsid w:val="005A67BB"/>
    <w:rsid w:val="005A740E"/>
    <w:rsid w:val="005B0120"/>
    <w:rsid w:val="005B0BCC"/>
    <w:rsid w:val="005B2090"/>
    <w:rsid w:val="005B2A3B"/>
    <w:rsid w:val="005B2A9E"/>
    <w:rsid w:val="005B2AFE"/>
    <w:rsid w:val="005B39F8"/>
    <w:rsid w:val="005B3F4F"/>
    <w:rsid w:val="005C2B4E"/>
    <w:rsid w:val="005C5E3B"/>
    <w:rsid w:val="005C663F"/>
    <w:rsid w:val="005C79E2"/>
    <w:rsid w:val="005D07B3"/>
    <w:rsid w:val="005D1611"/>
    <w:rsid w:val="005E0DCD"/>
    <w:rsid w:val="005E5234"/>
    <w:rsid w:val="005E7F3F"/>
    <w:rsid w:val="005F38E6"/>
    <w:rsid w:val="005F6CAA"/>
    <w:rsid w:val="00602DE5"/>
    <w:rsid w:val="0060451F"/>
    <w:rsid w:val="006049B5"/>
    <w:rsid w:val="006054BF"/>
    <w:rsid w:val="0060556C"/>
    <w:rsid w:val="00605FB9"/>
    <w:rsid w:val="006077DA"/>
    <w:rsid w:val="00613495"/>
    <w:rsid w:val="006138A9"/>
    <w:rsid w:val="00616699"/>
    <w:rsid w:val="006217C9"/>
    <w:rsid w:val="006217CD"/>
    <w:rsid w:val="00622118"/>
    <w:rsid w:val="00622A7A"/>
    <w:rsid w:val="00623F3E"/>
    <w:rsid w:val="00626C25"/>
    <w:rsid w:val="00632581"/>
    <w:rsid w:val="0063404D"/>
    <w:rsid w:val="00637C57"/>
    <w:rsid w:val="00640710"/>
    <w:rsid w:val="00642967"/>
    <w:rsid w:val="00643C82"/>
    <w:rsid w:val="00655583"/>
    <w:rsid w:val="00657A43"/>
    <w:rsid w:val="00660860"/>
    <w:rsid w:val="00660BC7"/>
    <w:rsid w:val="0066177F"/>
    <w:rsid w:val="00661FD1"/>
    <w:rsid w:val="006631A6"/>
    <w:rsid w:val="006635EA"/>
    <w:rsid w:val="0066581C"/>
    <w:rsid w:val="00670F37"/>
    <w:rsid w:val="00674510"/>
    <w:rsid w:val="0067548C"/>
    <w:rsid w:val="0068029A"/>
    <w:rsid w:val="00684358"/>
    <w:rsid w:val="00686D4F"/>
    <w:rsid w:val="00687BC5"/>
    <w:rsid w:val="00691763"/>
    <w:rsid w:val="0069233D"/>
    <w:rsid w:val="006A28D5"/>
    <w:rsid w:val="006A3076"/>
    <w:rsid w:val="006A3B57"/>
    <w:rsid w:val="006A4BE5"/>
    <w:rsid w:val="006A55AD"/>
    <w:rsid w:val="006A65EF"/>
    <w:rsid w:val="006C492D"/>
    <w:rsid w:val="006C6369"/>
    <w:rsid w:val="006D2826"/>
    <w:rsid w:val="006D44DF"/>
    <w:rsid w:val="006D582C"/>
    <w:rsid w:val="006D6106"/>
    <w:rsid w:val="006E16EF"/>
    <w:rsid w:val="006E58B8"/>
    <w:rsid w:val="006E628F"/>
    <w:rsid w:val="006E7D08"/>
    <w:rsid w:val="006F0642"/>
    <w:rsid w:val="006F069F"/>
    <w:rsid w:val="006F0977"/>
    <w:rsid w:val="006F19A2"/>
    <w:rsid w:val="006F320A"/>
    <w:rsid w:val="006F4AF1"/>
    <w:rsid w:val="006F6C03"/>
    <w:rsid w:val="006F793B"/>
    <w:rsid w:val="006F7A1E"/>
    <w:rsid w:val="007014BE"/>
    <w:rsid w:val="00704458"/>
    <w:rsid w:val="0070677A"/>
    <w:rsid w:val="00707093"/>
    <w:rsid w:val="00707748"/>
    <w:rsid w:val="00707A12"/>
    <w:rsid w:val="007103AB"/>
    <w:rsid w:val="007107BA"/>
    <w:rsid w:val="00710CE7"/>
    <w:rsid w:val="007227D3"/>
    <w:rsid w:val="00730BED"/>
    <w:rsid w:val="007327B6"/>
    <w:rsid w:val="00737112"/>
    <w:rsid w:val="007375F9"/>
    <w:rsid w:val="007377CC"/>
    <w:rsid w:val="007418CF"/>
    <w:rsid w:val="007443AD"/>
    <w:rsid w:val="00745BA7"/>
    <w:rsid w:val="00745F2F"/>
    <w:rsid w:val="007469D2"/>
    <w:rsid w:val="0075198B"/>
    <w:rsid w:val="007543DE"/>
    <w:rsid w:val="007566F0"/>
    <w:rsid w:val="00760780"/>
    <w:rsid w:val="00763624"/>
    <w:rsid w:val="0076441E"/>
    <w:rsid w:val="0076657F"/>
    <w:rsid w:val="00774B22"/>
    <w:rsid w:val="00777A09"/>
    <w:rsid w:val="007837F3"/>
    <w:rsid w:val="007904A7"/>
    <w:rsid w:val="00794C4E"/>
    <w:rsid w:val="007963A2"/>
    <w:rsid w:val="007A6F05"/>
    <w:rsid w:val="007B097B"/>
    <w:rsid w:val="007B6642"/>
    <w:rsid w:val="007C5CDC"/>
    <w:rsid w:val="007C6DEF"/>
    <w:rsid w:val="007C7C36"/>
    <w:rsid w:val="007D1C46"/>
    <w:rsid w:val="007D340E"/>
    <w:rsid w:val="007D5A8A"/>
    <w:rsid w:val="007D62CA"/>
    <w:rsid w:val="007D66C2"/>
    <w:rsid w:val="007D765B"/>
    <w:rsid w:val="007E0BFD"/>
    <w:rsid w:val="007E158B"/>
    <w:rsid w:val="007E20CA"/>
    <w:rsid w:val="007F042D"/>
    <w:rsid w:val="007F0737"/>
    <w:rsid w:val="007F0940"/>
    <w:rsid w:val="007F19AC"/>
    <w:rsid w:val="007F1E62"/>
    <w:rsid w:val="007F24F6"/>
    <w:rsid w:val="007F2A0D"/>
    <w:rsid w:val="007F2A7E"/>
    <w:rsid w:val="007F552B"/>
    <w:rsid w:val="007F63EC"/>
    <w:rsid w:val="00800C47"/>
    <w:rsid w:val="00803F1B"/>
    <w:rsid w:val="008056A7"/>
    <w:rsid w:val="00805852"/>
    <w:rsid w:val="00805B22"/>
    <w:rsid w:val="00810805"/>
    <w:rsid w:val="00810F55"/>
    <w:rsid w:val="00811A91"/>
    <w:rsid w:val="00814958"/>
    <w:rsid w:val="008149CF"/>
    <w:rsid w:val="00816CA5"/>
    <w:rsid w:val="00817FC3"/>
    <w:rsid w:val="00823E54"/>
    <w:rsid w:val="00824A4E"/>
    <w:rsid w:val="008254E7"/>
    <w:rsid w:val="0083477F"/>
    <w:rsid w:val="00837152"/>
    <w:rsid w:val="00837596"/>
    <w:rsid w:val="00840886"/>
    <w:rsid w:val="008408A0"/>
    <w:rsid w:val="00846E88"/>
    <w:rsid w:val="008501A5"/>
    <w:rsid w:val="00854ADE"/>
    <w:rsid w:val="008576F0"/>
    <w:rsid w:val="00857C89"/>
    <w:rsid w:val="00857FE1"/>
    <w:rsid w:val="008611F2"/>
    <w:rsid w:val="0086125A"/>
    <w:rsid w:val="00861E1F"/>
    <w:rsid w:val="00861EE2"/>
    <w:rsid w:val="00862598"/>
    <w:rsid w:val="00864151"/>
    <w:rsid w:val="00865C0D"/>
    <w:rsid w:val="00867F1E"/>
    <w:rsid w:val="008707CA"/>
    <w:rsid w:val="00871650"/>
    <w:rsid w:val="00872A55"/>
    <w:rsid w:val="00873542"/>
    <w:rsid w:val="00880C71"/>
    <w:rsid w:val="0088117B"/>
    <w:rsid w:val="00882531"/>
    <w:rsid w:val="0088714E"/>
    <w:rsid w:val="00887FA5"/>
    <w:rsid w:val="008926B7"/>
    <w:rsid w:val="0089561E"/>
    <w:rsid w:val="008A0590"/>
    <w:rsid w:val="008B063A"/>
    <w:rsid w:val="008B066F"/>
    <w:rsid w:val="008B2878"/>
    <w:rsid w:val="008B2A80"/>
    <w:rsid w:val="008B4122"/>
    <w:rsid w:val="008B534E"/>
    <w:rsid w:val="008B536E"/>
    <w:rsid w:val="008B5F79"/>
    <w:rsid w:val="008B61CE"/>
    <w:rsid w:val="008C2242"/>
    <w:rsid w:val="008C2FFC"/>
    <w:rsid w:val="008C3D85"/>
    <w:rsid w:val="008D2512"/>
    <w:rsid w:val="008D3423"/>
    <w:rsid w:val="008D416F"/>
    <w:rsid w:val="008D6580"/>
    <w:rsid w:val="008E1E2A"/>
    <w:rsid w:val="008E277B"/>
    <w:rsid w:val="008E3748"/>
    <w:rsid w:val="008E45DE"/>
    <w:rsid w:val="008E765D"/>
    <w:rsid w:val="008F733C"/>
    <w:rsid w:val="00904292"/>
    <w:rsid w:val="00910626"/>
    <w:rsid w:val="00910AC9"/>
    <w:rsid w:val="0091236B"/>
    <w:rsid w:val="009135EF"/>
    <w:rsid w:val="009150AA"/>
    <w:rsid w:val="009167EA"/>
    <w:rsid w:val="00916E26"/>
    <w:rsid w:val="00917CF5"/>
    <w:rsid w:val="009203AD"/>
    <w:rsid w:val="00920BA7"/>
    <w:rsid w:val="00921D50"/>
    <w:rsid w:val="00923ABF"/>
    <w:rsid w:val="009257CF"/>
    <w:rsid w:val="00926D34"/>
    <w:rsid w:val="00926E93"/>
    <w:rsid w:val="00927FAF"/>
    <w:rsid w:val="0093066E"/>
    <w:rsid w:val="00930C66"/>
    <w:rsid w:val="00933AD4"/>
    <w:rsid w:val="00935D37"/>
    <w:rsid w:val="00936389"/>
    <w:rsid w:val="00940633"/>
    <w:rsid w:val="009413D6"/>
    <w:rsid w:val="009418C7"/>
    <w:rsid w:val="00942DC2"/>
    <w:rsid w:val="009433EF"/>
    <w:rsid w:val="00943770"/>
    <w:rsid w:val="0094465F"/>
    <w:rsid w:val="00947975"/>
    <w:rsid w:val="00956CA1"/>
    <w:rsid w:val="00957FC8"/>
    <w:rsid w:val="0096020A"/>
    <w:rsid w:val="00960DBD"/>
    <w:rsid w:val="00960E8B"/>
    <w:rsid w:val="009618C6"/>
    <w:rsid w:val="0096652B"/>
    <w:rsid w:val="00967743"/>
    <w:rsid w:val="009700AC"/>
    <w:rsid w:val="00970E4B"/>
    <w:rsid w:val="0097162D"/>
    <w:rsid w:val="0097473C"/>
    <w:rsid w:val="00974D3A"/>
    <w:rsid w:val="0097594A"/>
    <w:rsid w:val="00977B8C"/>
    <w:rsid w:val="00980419"/>
    <w:rsid w:val="00980D23"/>
    <w:rsid w:val="00983562"/>
    <w:rsid w:val="00985E2D"/>
    <w:rsid w:val="00990379"/>
    <w:rsid w:val="0099164F"/>
    <w:rsid w:val="00994467"/>
    <w:rsid w:val="00994538"/>
    <w:rsid w:val="00995057"/>
    <w:rsid w:val="0099782D"/>
    <w:rsid w:val="00997D7A"/>
    <w:rsid w:val="009A323D"/>
    <w:rsid w:val="009A4D6E"/>
    <w:rsid w:val="009A54A9"/>
    <w:rsid w:val="009B0F62"/>
    <w:rsid w:val="009B4126"/>
    <w:rsid w:val="009B4573"/>
    <w:rsid w:val="009B5ABF"/>
    <w:rsid w:val="009B6906"/>
    <w:rsid w:val="009B7AF2"/>
    <w:rsid w:val="009B7E26"/>
    <w:rsid w:val="009C0CFE"/>
    <w:rsid w:val="009C323E"/>
    <w:rsid w:val="009C3D15"/>
    <w:rsid w:val="009D16DF"/>
    <w:rsid w:val="009D1830"/>
    <w:rsid w:val="009D1AC9"/>
    <w:rsid w:val="009D1DF7"/>
    <w:rsid w:val="009D3B7A"/>
    <w:rsid w:val="009D417C"/>
    <w:rsid w:val="009D455E"/>
    <w:rsid w:val="009E41F1"/>
    <w:rsid w:val="009E6969"/>
    <w:rsid w:val="009F13D4"/>
    <w:rsid w:val="009F14F1"/>
    <w:rsid w:val="009F1CFB"/>
    <w:rsid w:val="009F1DFF"/>
    <w:rsid w:val="009F35D0"/>
    <w:rsid w:val="009F3B9B"/>
    <w:rsid w:val="009F5A1E"/>
    <w:rsid w:val="009F69BD"/>
    <w:rsid w:val="009F69DB"/>
    <w:rsid w:val="009F6E0B"/>
    <w:rsid w:val="00A0130C"/>
    <w:rsid w:val="00A013CD"/>
    <w:rsid w:val="00A027F4"/>
    <w:rsid w:val="00A0337F"/>
    <w:rsid w:val="00A055DB"/>
    <w:rsid w:val="00A0595F"/>
    <w:rsid w:val="00A12557"/>
    <w:rsid w:val="00A12B15"/>
    <w:rsid w:val="00A1338D"/>
    <w:rsid w:val="00A156FF"/>
    <w:rsid w:val="00A15728"/>
    <w:rsid w:val="00A15F73"/>
    <w:rsid w:val="00A1646A"/>
    <w:rsid w:val="00A17257"/>
    <w:rsid w:val="00A1771F"/>
    <w:rsid w:val="00A17737"/>
    <w:rsid w:val="00A206AD"/>
    <w:rsid w:val="00A21826"/>
    <w:rsid w:val="00A223A7"/>
    <w:rsid w:val="00A22CDE"/>
    <w:rsid w:val="00A22ED2"/>
    <w:rsid w:val="00A23026"/>
    <w:rsid w:val="00A23044"/>
    <w:rsid w:val="00A26DD8"/>
    <w:rsid w:val="00A3282B"/>
    <w:rsid w:val="00A3667B"/>
    <w:rsid w:val="00A41CDE"/>
    <w:rsid w:val="00A42678"/>
    <w:rsid w:val="00A44782"/>
    <w:rsid w:val="00A51056"/>
    <w:rsid w:val="00A52ADA"/>
    <w:rsid w:val="00A54A96"/>
    <w:rsid w:val="00A54C2D"/>
    <w:rsid w:val="00A55F01"/>
    <w:rsid w:val="00A5779D"/>
    <w:rsid w:val="00A62053"/>
    <w:rsid w:val="00A66B95"/>
    <w:rsid w:val="00A67E61"/>
    <w:rsid w:val="00A746B2"/>
    <w:rsid w:val="00A74FC4"/>
    <w:rsid w:val="00A8034A"/>
    <w:rsid w:val="00A81344"/>
    <w:rsid w:val="00A8144C"/>
    <w:rsid w:val="00A82198"/>
    <w:rsid w:val="00A85729"/>
    <w:rsid w:val="00A869B9"/>
    <w:rsid w:val="00A871E1"/>
    <w:rsid w:val="00A872AA"/>
    <w:rsid w:val="00A87303"/>
    <w:rsid w:val="00A925C8"/>
    <w:rsid w:val="00A93C26"/>
    <w:rsid w:val="00A9486C"/>
    <w:rsid w:val="00A94FB8"/>
    <w:rsid w:val="00A96790"/>
    <w:rsid w:val="00AA07BD"/>
    <w:rsid w:val="00AA3212"/>
    <w:rsid w:val="00AA3545"/>
    <w:rsid w:val="00AA4BD1"/>
    <w:rsid w:val="00AB27A7"/>
    <w:rsid w:val="00AB301E"/>
    <w:rsid w:val="00AB38D9"/>
    <w:rsid w:val="00AB7DAC"/>
    <w:rsid w:val="00AC1974"/>
    <w:rsid w:val="00AC2132"/>
    <w:rsid w:val="00AC4D0F"/>
    <w:rsid w:val="00AC6193"/>
    <w:rsid w:val="00AC685E"/>
    <w:rsid w:val="00AD04B0"/>
    <w:rsid w:val="00AD0907"/>
    <w:rsid w:val="00AD29ED"/>
    <w:rsid w:val="00AD5212"/>
    <w:rsid w:val="00AD57D5"/>
    <w:rsid w:val="00AE14C5"/>
    <w:rsid w:val="00AE36EC"/>
    <w:rsid w:val="00AE43B0"/>
    <w:rsid w:val="00AE4C6F"/>
    <w:rsid w:val="00AE5AAD"/>
    <w:rsid w:val="00AE5CC0"/>
    <w:rsid w:val="00AE688F"/>
    <w:rsid w:val="00AF0A6F"/>
    <w:rsid w:val="00AF2682"/>
    <w:rsid w:val="00AF31FA"/>
    <w:rsid w:val="00AF375F"/>
    <w:rsid w:val="00AF400E"/>
    <w:rsid w:val="00AF4411"/>
    <w:rsid w:val="00AF51A3"/>
    <w:rsid w:val="00AF53DE"/>
    <w:rsid w:val="00AF6933"/>
    <w:rsid w:val="00AF7027"/>
    <w:rsid w:val="00B00D15"/>
    <w:rsid w:val="00B041F1"/>
    <w:rsid w:val="00B05A19"/>
    <w:rsid w:val="00B05C1E"/>
    <w:rsid w:val="00B0602B"/>
    <w:rsid w:val="00B065B9"/>
    <w:rsid w:val="00B07A9F"/>
    <w:rsid w:val="00B12051"/>
    <w:rsid w:val="00B1350C"/>
    <w:rsid w:val="00B13789"/>
    <w:rsid w:val="00B15D33"/>
    <w:rsid w:val="00B162C3"/>
    <w:rsid w:val="00B22EA7"/>
    <w:rsid w:val="00B246E2"/>
    <w:rsid w:val="00B269DB"/>
    <w:rsid w:val="00B332D7"/>
    <w:rsid w:val="00B3342A"/>
    <w:rsid w:val="00B40DCF"/>
    <w:rsid w:val="00B41574"/>
    <w:rsid w:val="00B43C7B"/>
    <w:rsid w:val="00B4489A"/>
    <w:rsid w:val="00B4656E"/>
    <w:rsid w:val="00B47AB4"/>
    <w:rsid w:val="00B509ED"/>
    <w:rsid w:val="00B5388B"/>
    <w:rsid w:val="00B54162"/>
    <w:rsid w:val="00B542D3"/>
    <w:rsid w:val="00B560B0"/>
    <w:rsid w:val="00B56A1E"/>
    <w:rsid w:val="00B57284"/>
    <w:rsid w:val="00B6035B"/>
    <w:rsid w:val="00B64E58"/>
    <w:rsid w:val="00B666ED"/>
    <w:rsid w:val="00B70DED"/>
    <w:rsid w:val="00B7317D"/>
    <w:rsid w:val="00B73533"/>
    <w:rsid w:val="00B73E35"/>
    <w:rsid w:val="00B76556"/>
    <w:rsid w:val="00B836D5"/>
    <w:rsid w:val="00B840AB"/>
    <w:rsid w:val="00B84FE0"/>
    <w:rsid w:val="00B90C4D"/>
    <w:rsid w:val="00B92C79"/>
    <w:rsid w:val="00B952EB"/>
    <w:rsid w:val="00B96270"/>
    <w:rsid w:val="00B97680"/>
    <w:rsid w:val="00BA069E"/>
    <w:rsid w:val="00BA0EAF"/>
    <w:rsid w:val="00BA12FD"/>
    <w:rsid w:val="00BA5DE0"/>
    <w:rsid w:val="00BA69BB"/>
    <w:rsid w:val="00BA7956"/>
    <w:rsid w:val="00BA7B67"/>
    <w:rsid w:val="00BB143A"/>
    <w:rsid w:val="00BB77ED"/>
    <w:rsid w:val="00BC07D9"/>
    <w:rsid w:val="00BC0F68"/>
    <w:rsid w:val="00BC5ACB"/>
    <w:rsid w:val="00BD0A62"/>
    <w:rsid w:val="00BD0B0A"/>
    <w:rsid w:val="00BD156F"/>
    <w:rsid w:val="00BD1AAA"/>
    <w:rsid w:val="00BD3403"/>
    <w:rsid w:val="00BD3778"/>
    <w:rsid w:val="00BD384E"/>
    <w:rsid w:val="00BD6CB8"/>
    <w:rsid w:val="00BE03FB"/>
    <w:rsid w:val="00BE1A66"/>
    <w:rsid w:val="00BE25B8"/>
    <w:rsid w:val="00BE472B"/>
    <w:rsid w:val="00BE5150"/>
    <w:rsid w:val="00BE5638"/>
    <w:rsid w:val="00BF04ED"/>
    <w:rsid w:val="00BF37DC"/>
    <w:rsid w:val="00BF60EE"/>
    <w:rsid w:val="00BF7550"/>
    <w:rsid w:val="00C0138E"/>
    <w:rsid w:val="00C023A4"/>
    <w:rsid w:val="00C03B39"/>
    <w:rsid w:val="00C03DAB"/>
    <w:rsid w:val="00C0403E"/>
    <w:rsid w:val="00C05D5F"/>
    <w:rsid w:val="00C062CC"/>
    <w:rsid w:val="00C06C13"/>
    <w:rsid w:val="00C076E1"/>
    <w:rsid w:val="00C10609"/>
    <w:rsid w:val="00C1296E"/>
    <w:rsid w:val="00C168B8"/>
    <w:rsid w:val="00C16B94"/>
    <w:rsid w:val="00C2004B"/>
    <w:rsid w:val="00C22AFA"/>
    <w:rsid w:val="00C24A34"/>
    <w:rsid w:val="00C275DE"/>
    <w:rsid w:val="00C344E7"/>
    <w:rsid w:val="00C34C2B"/>
    <w:rsid w:val="00C471EE"/>
    <w:rsid w:val="00C5090D"/>
    <w:rsid w:val="00C516A1"/>
    <w:rsid w:val="00C531FF"/>
    <w:rsid w:val="00C53663"/>
    <w:rsid w:val="00C543E3"/>
    <w:rsid w:val="00C54463"/>
    <w:rsid w:val="00C625FA"/>
    <w:rsid w:val="00C644C7"/>
    <w:rsid w:val="00C659D0"/>
    <w:rsid w:val="00C65F9B"/>
    <w:rsid w:val="00C66A8C"/>
    <w:rsid w:val="00C67DA4"/>
    <w:rsid w:val="00C70168"/>
    <w:rsid w:val="00C70F21"/>
    <w:rsid w:val="00C71935"/>
    <w:rsid w:val="00C72875"/>
    <w:rsid w:val="00C72993"/>
    <w:rsid w:val="00C757DA"/>
    <w:rsid w:val="00C77A95"/>
    <w:rsid w:val="00C80569"/>
    <w:rsid w:val="00C81A60"/>
    <w:rsid w:val="00C82864"/>
    <w:rsid w:val="00C86D95"/>
    <w:rsid w:val="00C903C3"/>
    <w:rsid w:val="00C9086C"/>
    <w:rsid w:val="00C91FF9"/>
    <w:rsid w:val="00C92F43"/>
    <w:rsid w:val="00C944E5"/>
    <w:rsid w:val="00C96FC0"/>
    <w:rsid w:val="00CA30D7"/>
    <w:rsid w:val="00CA4F90"/>
    <w:rsid w:val="00CB3AE8"/>
    <w:rsid w:val="00CB3EA3"/>
    <w:rsid w:val="00CB5D2C"/>
    <w:rsid w:val="00CC14E4"/>
    <w:rsid w:val="00CC2443"/>
    <w:rsid w:val="00CD1675"/>
    <w:rsid w:val="00CD399D"/>
    <w:rsid w:val="00CD4642"/>
    <w:rsid w:val="00CD5308"/>
    <w:rsid w:val="00CE2266"/>
    <w:rsid w:val="00CE5E6E"/>
    <w:rsid w:val="00CE618F"/>
    <w:rsid w:val="00CE6508"/>
    <w:rsid w:val="00CF77E7"/>
    <w:rsid w:val="00CF7E4F"/>
    <w:rsid w:val="00D023FE"/>
    <w:rsid w:val="00D0487F"/>
    <w:rsid w:val="00D101F0"/>
    <w:rsid w:val="00D1209D"/>
    <w:rsid w:val="00D122FC"/>
    <w:rsid w:val="00D13AEB"/>
    <w:rsid w:val="00D14674"/>
    <w:rsid w:val="00D14BFB"/>
    <w:rsid w:val="00D178DE"/>
    <w:rsid w:val="00D202DB"/>
    <w:rsid w:val="00D21A57"/>
    <w:rsid w:val="00D2210B"/>
    <w:rsid w:val="00D222CE"/>
    <w:rsid w:val="00D252DC"/>
    <w:rsid w:val="00D3737D"/>
    <w:rsid w:val="00D37406"/>
    <w:rsid w:val="00D377BF"/>
    <w:rsid w:val="00D4207E"/>
    <w:rsid w:val="00D44386"/>
    <w:rsid w:val="00D444F3"/>
    <w:rsid w:val="00D4554B"/>
    <w:rsid w:val="00D530AF"/>
    <w:rsid w:val="00D54B07"/>
    <w:rsid w:val="00D55776"/>
    <w:rsid w:val="00D60772"/>
    <w:rsid w:val="00D60B47"/>
    <w:rsid w:val="00D616FD"/>
    <w:rsid w:val="00D6281A"/>
    <w:rsid w:val="00D719F3"/>
    <w:rsid w:val="00D721B4"/>
    <w:rsid w:val="00D74F18"/>
    <w:rsid w:val="00D81C3D"/>
    <w:rsid w:val="00D82CD2"/>
    <w:rsid w:val="00D83463"/>
    <w:rsid w:val="00D83650"/>
    <w:rsid w:val="00D87EE7"/>
    <w:rsid w:val="00D91482"/>
    <w:rsid w:val="00D9267E"/>
    <w:rsid w:val="00D92D78"/>
    <w:rsid w:val="00D932EE"/>
    <w:rsid w:val="00D94B63"/>
    <w:rsid w:val="00D94EA0"/>
    <w:rsid w:val="00D96622"/>
    <w:rsid w:val="00D9708A"/>
    <w:rsid w:val="00D97AB1"/>
    <w:rsid w:val="00DA1925"/>
    <w:rsid w:val="00DA35CA"/>
    <w:rsid w:val="00DA70FF"/>
    <w:rsid w:val="00DB0CCF"/>
    <w:rsid w:val="00DB3818"/>
    <w:rsid w:val="00DB4518"/>
    <w:rsid w:val="00DB6B93"/>
    <w:rsid w:val="00DB6C2C"/>
    <w:rsid w:val="00DC0A4B"/>
    <w:rsid w:val="00DC0E9B"/>
    <w:rsid w:val="00DC21CC"/>
    <w:rsid w:val="00DC73F9"/>
    <w:rsid w:val="00DC7CCD"/>
    <w:rsid w:val="00DD19B7"/>
    <w:rsid w:val="00DD22BC"/>
    <w:rsid w:val="00DE279C"/>
    <w:rsid w:val="00DE52B4"/>
    <w:rsid w:val="00DF14B1"/>
    <w:rsid w:val="00DF1A59"/>
    <w:rsid w:val="00DF35B5"/>
    <w:rsid w:val="00DF5F69"/>
    <w:rsid w:val="00DF761C"/>
    <w:rsid w:val="00E0152C"/>
    <w:rsid w:val="00E05300"/>
    <w:rsid w:val="00E06B2D"/>
    <w:rsid w:val="00E06E06"/>
    <w:rsid w:val="00E108C6"/>
    <w:rsid w:val="00E11FB2"/>
    <w:rsid w:val="00E12664"/>
    <w:rsid w:val="00E1274D"/>
    <w:rsid w:val="00E13203"/>
    <w:rsid w:val="00E135BE"/>
    <w:rsid w:val="00E13CA2"/>
    <w:rsid w:val="00E14D5C"/>
    <w:rsid w:val="00E15AF3"/>
    <w:rsid w:val="00E161D1"/>
    <w:rsid w:val="00E1689F"/>
    <w:rsid w:val="00E17254"/>
    <w:rsid w:val="00E212BE"/>
    <w:rsid w:val="00E21FA4"/>
    <w:rsid w:val="00E22D24"/>
    <w:rsid w:val="00E22F24"/>
    <w:rsid w:val="00E2382F"/>
    <w:rsid w:val="00E24E5D"/>
    <w:rsid w:val="00E3217C"/>
    <w:rsid w:val="00E36741"/>
    <w:rsid w:val="00E373AE"/>
    <w:rsid w:val="00E41597"/>
    <w:rsid w:val="00E4172D"/>
    <w:rsid w:val="00E4182E"/>
    <w:rsid w:val="00E50413"/>
    <w:rsid w:val="00E55935"/>
    <w:rsid w:val="00E57237"/>
    <w:rsid w:val="00E62506"/>
    <w:rsid w:val="00E63F89"/>
    <w:rsid w:val="00E64BFD"/>
    <w:rsid w:val="00E64C4D"/>
    <w:rsid w:val="00E64EBF"/>
    <w:rsid w:val="00E70383"/>
    <w:rsid w:val="00E709DB"/>
    <w:rsid w:val="00E70F83"/>
    <w:rsid w:val="00E75B4B"/>
    <w:rsid w:val="00E8016B"/>
    <w:rsid w:val="00E80617"/>
    <w:rsid w:val="00E8163D"/>
    <w:rsid w:val="00E85B61"/>
    <w:rsid w:val="00E87088"/>
    <w:rsid w:val="00E941F7"/>
    <w:rsid w:val="00E95E66"/>
    <w:rsid w:val="00E966C3"/>
    <w:rsid w:val="00E97D6F"/>
    <w:rsid w:val="00E97EB0"/>
    <w:rsid w:val="00EA42FC"/>
    <w:rsid w:val="00EA5D2D"/>
    <w:rsid w:val="00EB67DA"/>
    <w:rsid w:val="00EC29B6"/>
    <w:rsid w:val="00EC6399"/>
    <w:rsid w:val="00EC7B6C"/>
    <w:rsid w:val="00ED00C1"/>
    <w:rsid w:val="00ED059D"/>
    <w:rsid w:val="00ED11DD"/>
    <w:rsid w:val="00ED3579"/>
    <w:rsid w:val="00ED36C0"/>
    <w:rsid w:val="00ED6EE5"/>
    <w:rsid w:val="00ED7EF1"/>
    <w:rsid w:val="00EE610D"/>
    <w:rsid w:val="00EE6A58"/>
    <w:rsid w:val="00EF59D3"/>
    <w:rsid w:val="00EF7BA0"/>
    <w:rsid w:val="00F00288"/>
    <w:rsid w:val="00F03745"/>
    <w:rsid w:val="00F03899"/>
    <w:rsid w:val="00F10329"/>
    <w:rsid w:val="00F12718"/>
    <w:rsid w:val="00F12B22"/>
    <w:rsid w:val="00F13C9F"/>
    <w:rsid w:val="00F14EF6"/>
    <w:rsid w:val="00F16E43"/>
    <w:rsid w:val="00F16FED"/>
    <w:rsid w:val="00F17570"/>
    <w:rsid w:val="00F20D57"/>
    <w:rsid w:val="00F22550"/>
    <w:rsid w:val="00F23334"/>
    <w:rsid w:val="00F2738E"/>
    <w:rsid w:val="00F3016E"/>
    <w:rsid w:val="00F379AA"/>
    <w:rsid w:val="00F44761"/>
    <w:rsid w:val="00F46AB3"/>
    <w:rsid w:val="00F474B2"/>
    <w:rsid w:val="00F50369"/>
    <w:rsid w:val="00F50692"/>
    <w:rsid w:val="00F5173D"/>
    <w:rsid w:val="00F52276"/>
    <w:rsid w:val="00F565B8"/>
    <w:rsid w:val="00F575A7"/>
    <w:rsid w:val="00F60831"/>
    <w:rsid w:val="00F65AD3"/>
    <w:rsid w:val="00F70531"/>
    <w:rsid w:val="00F71128"/>
    <w:rsid w:val="00F71E53"/>
    <w:rsid w:val="00F72EFC"/>
    <w:rsid w:val="00F768AB"/>
    <w:rsid w:val="00F76A08"/>
    <w:rsid w:val="00F81D9A"/>
    <w:rsid w:val="00F85DCD"/>
    <w:rsid w:val="00F875D2"/>
    <w:rsid w:val="00F90490"/>
    <w:rsid w:val="00F93577"/>
    <w:rsid w:val="00F94AE4"/>
    <w:rsid w:val="00F97389"/>
    <w:rsid w:val="00F976AC"/>
    <w:rsid w:val="00F97B09"/>
    <w:rsid w:val="00FA12AD"/>
    <w:rsid w:val="00FA1C85"/>
    <w:rsid w:val="00FA3864"/>
    <w:rsid w:val="00FA43C3"/>
    <w:rsid w:val="00FA48E5"/>
    <w:rsid w:val="00FA6964"/>
    <w:rsid w:val="00FA6D1C"/>
    <w:rsid w:val="00FB19A9"/>
    <w:rsid w:val="00FC097D"/>
    <w:rsid w:val="00FC0A54"/>
    <w:rsid w:val="00FC2F2E"/>
    <w:rsid w:val="00FC3A41"/>
    <w:rsid w:val="00FD314F"/>
    <w:rsid w:val="00FD3F68"/>
    <w:rsid w:val="00FD6099"/>
    <w:rsid w:val="00FD668C"/>
    <w:rsid w:val="00FD6BBF"/>
    <w:rsid w:val="00FD707C"/>
    <w:rsid w:val="00FE51BD"/>
    <w:rsid w:val="00FE5DC3"/>
    <w:rsid w:val="00FF1779"/>
    <w:rsid w:val="00FF1981"/>
    <w:rsid w:val="00FF2340"/>
    <w:rsid w:val="00FF60C7"/>
    <w:rsid w:val="00FF7392"/>
    <w:rsid w:val="011B684E"/>
    <w:rsid w:val="023B43DC"/>
    <w:rsid w:val="074D26E8"/>
    <w:rsid w:val="08052C9A"/>
    <w:rsid w:val="0B081AB2"/>
    <w:rsid w:val="0B4C1AF8"/>
    <w:rsid w:val="10AA3895"/>
    <w:rsid w:val="110F26B1"/>
    <w:rsid w:val="13404ED0"/>
    <w:rsid w:val="145B41DA"/>
    <w:rsid w:val="1695565B"/>
    <w:rsid w:val="1A7D41CF"/>
    <w:rsid w:val="1FD3237E"/>
    <w:rsid w:val="21CE0EBF"/>
    <w:rsid w:val="24485B15"/>
    <w:rsid w:val="2EF13295"/>
    <w:rsid w:val="39457F93"/>
    <w:rsid w:val="456E4695"/>
    <w:rsid w:val="4A456A7E"/>
    <w:rsid w:val="4BB12688"/>
    <w:rsid w:val="51650C56"/>
    <w:rsid w:val="5BAE3879"/>
    <w:rsid w:val="63123DA9"/>
    <w:rsid w:val="63CF26B5"/>
    <w:rsid w:val="64B86B45"/>
    <w:rsid w:val="6E1A127E"/>
    <w:rsid w:val="6F2C465B"/>
    <w:rsid w:val="76976448"/>
    <w:rsid w:val="79364708"/>
    <w:rsid w:val="7BADC8DC"/>
    <w:rsid w:val="7D164783"/>
    <w:rsid w:val="7DF7DA30"/>
    <w:rsid w:val="7E960D71"/>
    <w:rsid w:val="B5E43D80"/>
    <w:rsid w:val="C3CFD1F9"/>
    <w:rsid w:val="EBBE8E75"/>
    <w:rsid w:val="FE69F1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rFonts w:ascii="Times New Roman" w:hAnsi="Times New Roman" w:eastAsia="宋体" w:cs="Times New Roman"/>
      <w:b/>
      <w:kern w:val="44"/>
      <w:sz w:val="44"/>
      <w:szCs w:val="24"/>
      <w:lang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line="360" w:lineRule="auto"/>
      <w:outlineLvl w:val="1"/>
    </w:pPr>
    <w:rPr>
      <w:rFonts w:ascii="Cambria" w:hAnsi="Cambria" w:eastAsia="宋体" w:cs="Times New Roman"/>
      <w:b/>
      <w:bCs/>
      <w:kern w:val="0"/>
      <w:sz w:val="32"/>
      <w:szCs w:val="32"/>
      <w:lang w:bidi="ar-SA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360" w:lineRule="auto"/>
      <w:outlineLvl w:val="2"/>
    </w:pPr>
    <w:rPr>
      <w:rFonts w:ascii="Times New Roman" w:hAnsi="Times New Roman" w:eastAsia="宋体" w:cs="Times New Roman"/>
      <w:b/>
      <w:bCs/>
      <w:kern w:val="0"/>
      <w:szCs w:val="32"/>
      <w:lang w:bidi="ar-SA"/>
    </w:rPr>
  </w:style>
  <w:style w:type="paragraph" w:styleId="5">
    <w:name w:val="heading 4"/>
    <w:basedOn w:val="1"/>
    <w:next w:val="6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 w:cs="Times New Roman"/>
      <w:sz w:val="28"/>
      <w:szCs w:val="22"/>
      <w:lang w:bidi="ar-SA"/>
    </w:rPr>
  </w:style>
  <w:style w:type="character" w:default="1" w:styleId="20">
    <w:name w:val="Default Paragraph Font"/>
    <w:semiHidden/>
    <w:uiPriority w:val="0"/>
  </w:style>
  <w:style w:type="table" w:default="1" w:styleId="18">
    <w:name w:val="Normal Table"/>
    <w:semiHidden/>
    <w:uiPriority w:val="0"/>
    <w:tblPr>
      <w:tblStyle w:val="1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unhideWhenUsed/>
    <w:qFormat/>
    <w:uiPriority w:val="99"/>
    <w:pPr>
      <w:ind w:firstLine="420"/>
    </w:pPr>
    <w:rPr>
      <w:rFonts w:ascii="仿宋_GB2312" w:hAnsi="仿宋_GB2312" w:eastAsia="仿宋_GB2312" w:cs="Times New Roman"/>
      <w:sz w:val="28"/>
      <w:szCs w:val="20"/>
      <w:lang w:bidi="ar-SA"/>
    </w:rPr>
  </w:style>
  <w:style w:type="paragraph" w:styleId="7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  <w:sz w:val="21"/>
      <w:szCs w:val="24"/>
      <w:lang w:bidi="ar-SA"/>
    </w:rPr>
  </w:style>
  <w:style w:type="paragraph" w:styleId="8">
    <w:name w:val="Document Map"/>
    <w:basedOn w:val="1"/>
    <w:semiHidden/>
    <w:uiPriority w:val="0"/>
    <w:pPr>
      <w:shd w:val="clear" w:color="auto" w:fill="000080"/>
    </w:pPr>
  </w:style>
  <w:style w:type="paragraph" w:styleId="9">
    <w:name w:val="Body Text"/>
    <w:basedOn w:val="1"/>
    <w:qFormat/>
    <w:uiPriority w:val="0"/>
    <w:pPr>
      <w:spacing w:after="140" w:line="276" w:lineRule="auto"/>
    </w:pPr>
    <w:rPr>
      <w:rFonts w:ascii="Times New Roman" w:hAnsi="Times New Roman" w:eastAsia="宋体" w:cs="Times New Roman"/>
      <w:szCs w:val="24"/>
      <w:lang w:bidi="ar-SA"/>
    </w:rPr>
  </w:style>
  <w:style w:type="paragraph" w:styleId="10">
    <w:name w:val="Body Text Indent"/>
    <w:basedOn w:val="1"/>
    <w:qFormat/>
    <w:uiPriority w:val="99"/>
    <w:pPr>
      <w:spacing w:after="120"/>
      <w:ind w:left="420" w:leftChars="200"/>
    </w:pPr>
    <w:rPr>
      <w:rFonts w:ascii="Times New Roman" w:hAnsi="Times New Roman" w:eastAsia="宋体" w:cs="Times New Roman"/>
      <w:szCs w:val="24"/>
      <w:lang w:bidi="ar-SA"/>
    </w:rPr>
  </w:style>
  <w:style w:type="paragraph" w:styleId="11">
    <w:name w:val="Date"/>
    <w:basedOn w:val="1"/>
    <w:next w:val="1"/>
    <w:link w:val="25"/>
    <w:uiPriority w:val="0"/>
    <w:pPr>
      <w:ind w:left="100" w:leftChars="2500"/>
    </w:pPr>
    <w:rPr>
      <w:rFonts w:ascii="仿宋_GB2312" w:eastAsia="仿宋_GB2312"/>
      <w:sz w:val="32"/>
    </w:rPr>
  </w:style>
  <w:style w:type="paragraph" w:styleId="12">
    <w:name w:val="Balloon Text"/>
    <w:basedOn w:val="1"/>
    <w:link w:val="26"/>
    <w:semiHidden/>
    <w:uiPriority w:val="0"/>
    <w:rPr>
      <w:sz w:val="18"/>
      <w:szCs w:val="18"/>
    </w:rPr>
  </w:style>
  <w:style w:type="paragraph" w:styleId="13">
    <w:name w:val="footer"/>
    <w:basedOn w:val="1"/>
    <w:link w:val="2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2"/>
      <w:lang w:bidi="ar-SA"/>
    </w:rPr>
  </w:style>
  <w:style w:type="paragraph" w:styleId="16">
    <w:name w:val="Body Text First Indent"/>
    <w:basedOn w:val="9"/>
    <w:qFormat/>
    <w:uiPriority w:val="0"/>
    <w:pPr>
      <w:spacing w:after="120" w:line="240" w:lineRule="auto"/>
      <w:ind w:firstLine="420" w:firstLineChars="100"/>
    </w:pPr>
    <w:rPr>
      <w:rFonts w:ascii="Calibri" w:hAnsi="Calibri" w:cs="Calibri"/>
      <w:szCs w:val="21"/>
    </w:rPr>
  </w:style>
  <w:style w:type="paragraph" w:styleId="17">
    <w:name w:val="Body Text First Indent 2"/>
    <w:basedOn w:val="10"/>
    <w:qFormat/>
    <w:uiPriority w:val="99"/>
    <w:pPr>
      <w:ind w:firstLine="420" w:firstLineChars="200"/>
    </w:pPr>
    <w:rPr>
      <w:rFonts w:ascii="Calibri" w:hAnsi="Calibri"/>
    </w:rPr>
  </w:style>
  <w:style w:type="table" w:styleId="19">
    <w:name w:val="Table Grid"/>
    <w:basedOn w:val="18"/>
    <w:uiPriority w:val="0"/>
    <w:pPr>
      <w:widowControl w:val="0"/>
      <w:jc w:val="both"/>
    </w:pPr>
    <w:tblPr>
      <w:tblStyle w:val="1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1">
    <w:name w:val="page number"/>
    <w:basedOn w:val="20"/>
    <w:uiPriority w:val="0"/>
  </w:style>
  <w:style w:type="paragraph" w:customStyle="1" w:styleId="22">
    <w:name w:val="Body Text1"/>
    <w:basedOn w:val="1"/>
    <w:qFormat/>
    <w:uiPriority w:val="0"/>
    <w:rPr>
      <w:rFonts w:ascii="Times New Roman" w:hAnsi="Times New Roman" w:eastAsia="宋体" w:cs="Times New Roman"/>
      <w:b/>
      <w:sz w:val="44"/>
      <w:szCs w:val="24"/>
      <w:lang w:bidi="ar-SA"/>
    </w:rPr>
  </w:style>
  <w:style w:type="paragraph" w:customStyle="1" w:styleId="23">
    <w:name w:val="Body Text First Indent1"/>
    <w:basedOn w:val="22"/>
    <w:qFormat/>
    <w:uiPriority w:val="0"/>
    <w:pPr>
      <w:ind w:firstLine="100" w:firstLineChars="100"/>
    </w:pPr>
  </w:style>
  <w:style w:type="paragraph" w:styleId="2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  <w:lang w:bidi="ar-SA"/>
    </w:rPr>
  </w:style>
  <w:style w:type="character" w:customStyle="1" w:styleId="25">
    <w:name w:val=" Char Char2"/>
    <w:basedOn w:val="20"/>
    <w:link w:val="11"/>
    <w:uiPriority w:val="0"/>
    <w:rPr>
      <w:rFonts w:ascii="仿宋_GB2312" w:hAnsi="Times New Roman" w:eastAsia="仿宋_GB2312" w:cs="Times New Roman"/>
      <w:kern w:val="2"/>
      <w:sz w:val="32"/>
      <w:szCs w:val="24"/>
      <w:lang w:bidi="ar-SA"/>
    </w:rPr>
  </w:style>
  <w:style w:type="character" w:customStyle="1" w:styleId="26">
    <w:name w:val="批注框文本 Char"/>
    <w:basedOn w:val="20"/>
    <w:link w:val="12"/>
    <w:semiHidden/>
    <w:qFormat/>
    <w:uiPriority w:val="99"/>
    <w:rPr>
      <w:rFonts w:ascii="Times New Roman" w:hAnsi="Times New Roman" w:eastAsia="宋体" w:cs="Times New Roman"/>
      <w:sz w:val="18"/>
      <w:szCs w:val="18"/>
      <w:lang w:bidi="ar-SA"/>
    </w:rPr>
  </w:style>
  <w:style w:type="character" w:customStyle="1" w:styleId="27">
    <w:name w:val=" Char Char"/>
    <w:basedOn w:val="20"/>
    <w:link w:val="13"/>
    <w:semiHidden/>
    <w:uiPriority w:val="99"/>
    <w:rPr>
      <w:rFonts w:ascii="Calibri" w:hAnsi="Calibri" w:eastAsia="宋体" w:cs="Mongolian Baiti"/>
      <w:kern w:val="2"/>
      <w:sz w:val="18"/>
      <w:szCs w:val="22"/>
    </w:rPr>
  </w:style>
  <w:style w:type="character" w:customStyle="1" w:styleId="28">
    <w:name w:val=" Char Char1"/>
    <w:basedOn w:val="20"/>
    <w:link w:val="14"/>
    <w:semiHidden/>
    <w:uiPriority w:val="99"/>
    <w:rPr>
      <w:rFonts w:ascii="Calibri" w:hAnsi="Calibri" w:eastAsia="宋体" w:cs="Mongolian Baiti"/>
      <w:kern w:val="2"/>
      <w:sz w:val="18"/>
      <w:szCs w:val="22"/>
    </w:rPr>
  </w:style>
  <w:style w:type="character" w:customStyle="1" w:styleId="29">
    <w:name w:val="页眉 Char"/>
    <w:basedOn w:val="20"/>
    <w:qFormat/>
    <w:uiPriority w:val="99"/>
    <w:rPr>
      <w:rFonts w:ascii="Times New Roman" w:hAnsi="Times New Roman" w:eastAsia="宋体" w:cs="Times New Roman"/>
      <w:kern w:val="2"/>
      <w:sz w:val="18"/>
      <w:szCs w:val="22"/>
    </w:rPr>
  </w:style>
  <w:style w:type="character" w:customStyle="1" w:styleId="30">
    <w:name w:val="页脚 Char"/>
    <w:basedOn w:val="20"/>
    <w:qFormat/>
    <w:uiPriority w:val="99"/>
    <w:rPr>
      <w:rFonts w:ascii="Times New Roman" w:hAnsi="Times New Roman" w:eastAsia="宋体" w:cs="Times New Roman"/>
      <w:kern w:val="2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29.jpeg"/><Relationship Id="rId4" Type="http://schemas.openxmlformats.org/officeDocument/2006/relationships/header" Target="header2.xml"/><Relationship Id="rId39" Type="http://schemas.openxmlformats.org/officeDocument/2006/relationships/image" Target="media/image28.jpeg"/><Relationship Id="rId38" Type="http://schemas.openxmlformats.org/officeDocument/2006/relationships/image" Target="media/image27.jpeg"/><Relationship Id="rId37" Type="http://schemas.openxmlformats.org/officeDocument/2006/relationships/image" Target="media/image26.jpeg"/><Relationship Id="rId36" Type="http://schemas.openxmlformats.org/officeDocument/2006/relationships/image" Target="media/image25.jpeg"/><Relationship Id="rId35" Type="http://schemas.openxmlformats.org/officeDocument/2006/relationships/image" Target="media/image24.jpeg"/><Relationship Id="rId34" Type="http://schemas.openxmlformats.org/officeDocument/2006/relationships/image" Target="media/image23.jpeg"/><Relationship Id="rId33" Type="http://schemas.openxmlformats.org/officeDocument/2006/relationships/image" Target="media/image22.jpeg"/><Relationship Id="rId32" Type="http://schemas.openxmlformats.org/officeDocument/2006/relationships/image" Target="media/image21.jpeg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header" Target="header1.xml"/><Relationship Id="rId29" Type="http://schemas.openxmlformats.org/officeDocument/2006/relationships/image" Target="media/image18.jpeg"/><Relationship Id="rId28" Type="http://schemas.openxmlformats.org/officeDocument/2006/relationships/image" Target="media/image17.jpeg"/><Relationship Id="rId27" Type="http://schemas.openxmlformats.org/officeDocument/2006/relationships/image" Target="media/image16.jpeg"/><Relationship Id="rId26" Type="http://schemas.openxmlformats.org/officeDocument/2006/relationships/image" Target="media/image15.jpeg"/><Relationship Id="rId25" Type="http://schemas.openxmlformats.org/officeDocument/2006/relationships/image" Target="media/image14.jpeg"/><Relationship Id="rId24" Type="http://schemas.openxmlformats.org/officeDocument/2006/relationships/image" Target="media/image13.jpeg"/><Relationship Id="rId23" Type="http://schemas.openxmlformats.org/officeDocument/2006/relationships/image" Target="media/image12.jpeg"/><Relationship Id="rId22" Type="http://schemas.openxmlformats.org/officeDocument/2006/relationships/image" Target="media/image11.jpeg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Lenovo (Beijing) Limited</Company>
  <Pages>2</Pages>
  <Words>15</Words>
  <Characters>87</Characters>
  <Lines>1</Lines>
  <Paragraphs>1</Paragraphs>
  <TotalTime>20</TotalTime>
  <ScaleCrop>false</ScaleCrop>
  <LinksUpToDate>false</LinksUpToDate>
  <CharactersWithSpaces>101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2012-09-19T12:59:00Z</dcterms:created>
  <dc:creator>阿拉善盟行政公署:打印</dc:creator>
  <cp:lastModifiedBy>哈斯高娃</cp:lastModifiedBy>
  <cp:lastPrinted>2024-05-23T11:48:58Z</cp:lastPrinted>
  <dcterms:modified xsi:type="dcterms:W3CDTF">2024-05-27T01:35:16Z</dcterms:modified>
  <dc:title>_x0001_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