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54601">
      <w:pPr>
        <w:keepNext w:val="0"/>
        <w:keepLines w:val="0"/>
        <w:pageBreakBefore w:val="0"/>
        <w:widowControl w:val="0"/>
        <w:tabs>
          <w:tab w:val="left" w:pos="2940"/>
        </w:tabs>
        <w:kinsoku/>
        <w:wordWrap/>
        <w:overflowPunct/>
        <w:topLinePunct w:val="0"/>
        <w:autoSpaceDE/>
        <w:autoSpaceDN/>
        <w:bidi w:val="0"/>
        <w:adjustRightInd/>
        <w:snapToGrid/>
        <w:spacing w:line="560" w:lineRule="exact"/>
        <w:ind w:left="0" w:leftChars="0" w:firstLine="420" w:firstLineChars="200"/>
        <w:jc w:val="both"/>
        <w:textAlignment w:val="auto"/>
        <w:rPr>
          <w:rFonts w:hint="default" w:ascii="Times New Roman" w:hAnsi="Times New Roman" w:eastAsia="仿宋" w:cs="Times New Roman"/>
          <w:sz w:val="22"/>
          <w:szCs w:val="22"/>
        </w:rPr>
      </w:pPr>
      <w:r>
        <w:rPr>
          <w:rFonts w:hint="default" w:ascii="Times New Roman" w:hAnsi="Times New Roman" w:eastAsia="仿宋" w:cs="Times New Roman"/>
          <w:sz w:val="21"/>
          <w:szCs w:val="21"/>
        </w:rPr>
        <mc:AlternateContent>
          <mc:Choice Requires="wps">
            <w:drawing>
              <wp:anchor distT="0" distB="0" distL="114300" distR="114300" simplePos="0" relativeHeight="251660288" behindDoc="0" locked="0" layoutInCell="1" allowOverlap="1">
                <wp:simplePos x="0" y="0"/>
                <wp:positionH relativeFrom="column">
                  <wp:posOffset>31115</wp:posOffset>
                </wp:positionH>
                <wp:positionV relativeFrom="paragraph">
                  <wp:posOffset>4457700</wp:posOffset>
                </wp:positionV>
                <wp:extent cx="5880100" cy="815975"/>
                <wp:effectExtent l="0" t="0" r="2540" b="6985"/>
                <wp:wrapTopAndBottom/>
                <wp:docPr id="2" name="文本框 100"/>
                <wp:cNvGraphicFramePr/>
                <a:graphic xmlns:a="http://schemas.openxmlformats.org/drawingml/2006/main">
                  <a:graphicData uri="http://schemas.microsoft.com/office/word/2010/wordprocessingShape">
                    <wps:wsp>
                      <wps:cNvSpPr txBox="1"/>
                      <wps:spPr>
                        <a:xfrm>
                          <a:off x="0" y="0"/>
                          <a:ext cx="5880100" cy="815975"/>
                        </a:xfrm>
                        <a:prstGeom prst="rect">
                          <a:avLst/>
                        </a:prstGeom>
                        <a:solidFill>
                          <a:srgbClr val="FFFFFF"/>
                        </a:solidFill>
                        <a:ln w="6350">
                          <a:noFill/>
                        </a:ln>
                      </wps:spPr>
                      <wps:txbx>
                        <w:txbxContent>
                          <w:p w14:paraId="4EBA729C">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color w:val="auto"/>
                                <w:spacing w:val="0"/>
                                <w:sz w:val="36"/>
                                <w:szCs w:val="36"/>
                                <w:highlight w:val="none"/>
                                <w:lang w:val="en-US" w:eastAsia="zh-CN"/>
                              </w:rPr>
                            </w:pPr>
                            <w:r>
                              <w:rPr>
                                <w:rFonts w:hint="eastAsia" w:ascii="方正小标宋简体" w:hAnsi="方正小标宋简体" w:eastAsia="方正小标宋简体" w:cs="方正小标宋简体"/>
                                <w:b w:val="0"/>
                                <w:bCs w:val="0"/>
                                <w:color w:val="auto"/>
                                <w:spacing w:val="0"/>
                                <w:sz w:val="36"/>
                                <w:szCs w:val="36"/>
                                <w:highlight w:val="none"/>
                                <w:lang w:val="en-US" w:eastAsia="zh-CN"/>
                              </w:rPr>
                              <w:t>乌拉特中旗井灌区农业用水超定额累进加价</w:t>
                            </w:r>
                          </w:p>
                          <w:p w14:paraId="55CEC6BE">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pacing w:val="0"/>
                                <w:sz w:val="36"/>
                                <w:szCs w:val="36"/>
                                <w:highlight w:val="none"/>
                                <w:lang w:val="en-US" w:eastAsia="zh-CN"/>
                              </w:rPr>
                            </w:pPr>
                            <w:r>
                              <w:rPr>
                                <w:rFonts w:hint="eastAsia" w:ascii="方正小标宋简体" w:hAnsi="方正小标宋简体" w:eastAsia="方正小标宋简体" w:cs="方正小标宋简体"/>
                                <w:b w:val="0"/>
                                <w:bCs w:val="0"/>
                                <w:color w:val="auto"/>
                                <w:spacing w:val="0"/>
                                <w:sz w:val="36"/>
                                <w:szCs w:val="36"/>
                                <w:highlight w:val="none"/>
                                <w:lang w:val="en-US" w:eastAsia="zh-CN"/>
                              </w:rPr>
                              <w:t>指导意见</w:t>
                            </w:r>
                            <w:r>
                              <w:rPr>
                                <w:rFonts w:hint="eastAsia" w:ascii="方正小标宋简体" w:hAnsi="方正小标宋简体" w:eastAsia="方正小标宋简体" w:cs="方正小标宋简体"/>
                                <w:b w:val="0"/>
                                <w:bCs w:val="0"/>
                                <w:spacing w:val="0"/>
                                <w:sz w:val="36"/>
                                <w:szCs w:val="36"/>
                                <w:highlight w:val="none"/>
                                <w:lang w:val="en-US" w:eastAsia="zh-CN"/>
                              </w:rPr>
                              <w:t>（试行）</w:t>
                            </w:r>
                          </w:p>
                          <w:p w14:paraId="6CC135F6">
                            <w:pPr>
                              <w:keepNext w:val="0"/>
                              <w:keepLines w:val="0"/>
                              <w:pageBreakBefore w:val="0"/>
                              <w:widowControl/>
                              <w:kinsoku w:val="0"/>
                              <w:wordWrap/>
                              <w:overflowPunct/>
                              <w:topLinePunct w:val="0"/>
                              <w:autoSpaceDE w:val="0"/>
                              <w:autoSpaceDN w:val="0"/>
                              <w:bidi w:val="0"/>
                              <w:adjustRightInd/>
                              <w:snapToGrid/>
                              <w:spacing w:line="600" w:lineRule="exact"/>
                              <w:ind w:right="0"/>
                              <w:jc w:val="center"/>
                              <w:textAlignment w:val="baseline"/>
                              <w:rPr>
                                <w:rFonts w:hint="default" w:ascii="Times New Roman" w:hAnsi="Times New Roman" w:eastAsia="方正小标宋_GBK" w:cs="Times New Roman"/>
                                <w:b w:val="0"/>
                                <w:bCs w:val="0"/>
                                <w:spacing w:val="-11"/>
                                <w:sz w:val="44"/>
                                <w:szCs w:val="44"/>
                              </w:rPr>
                            </w:pPr>
                            <w:r>
                              <w:rPr>
                                <w:rFonts w:hint="default" w:ascii="Times New Roman" w:hAnsi="Times New Roman" w:eastAsia="方正小标宋_GBK" w:cs="Times New Roman"/>
                                <w:b w:val="0"/>
                                <w:bCs w:val="0"/>
                                <w:spacing w:val="-11"/>
                                <w:sz w:val="44"/>
                                <w:szCs w:val="44"/>
                              </w:rPr>
                              <w:t>整治行动方案</w:t>
                            </w:r>
                          </w:p>
                          <w:p w14:paraId="6A5645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的通知</w:t>
                            </w:r>
                          </w:p>
                          <w:p w14:paraId="6253A57D"/>
                        </w:txbxContent>
                      </wps:txbx>
                      <wps:bodyPr vert="horz" wrap="square" anchor="t" anchorCtr="0" upright="1"/>
                    </wps:wsp>
                  </a:graphicData>
                </a:graphic>
              </wp:anchor>
            </w:drawing>
          </mc:Choice>
          <mc:Fallback>
            <w:pict>
              <v:shape id="文本框 100" o:spid="_x0000_s1026" o:spt="202" type="#_x0000_t202" style="position:absolute;left:0pt;margin-left:2.45pt;margin-top:351pt;height:64.25pt;width:463pt;mso-wrap-distance-bottom:0pt;mso-wrap-distance-top:0pt;z-index:251660288;mso-width-relative:page;mso-height-relative:page;" fillcolor="#FFFFFF" filled="t" stroked="f" coordsize="21600,21600" o:gfxdata="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w/JEw1QAAAAkB&#10;AAAPAAAAAAAAAAEAIAAAACIAAABkcnMvZG93bnJldi54bWxQSwECFAAUAAAACACHTuJA4S5QuuUB&#10;AAC1AwAADgAAAAAAAAABACAAAAAkAQAAZHJzL2Uyb0RvYy54bWxQSwUGAAAAAAYABgBZAQAAewUA&#10;AAAA&#10;">
                <v:fill on="t" focussize="0,0"/>
                <v:stroke on="f" weight="0.5pt"/>
                <v:imagedata o:title=""/>
                <o:lock v:ext="edit" aspectratio="f"/>
                <v:textbox>
                  <w:txbxContent>
                    <w:p w14:paraId="4EBA729C">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color w:val="auto"/>
                          <w:spacing w:val="0"/>
                          <w:sz w:val="36"/>
                          <w:szCs w:val="36"/>
                          <w:highlight w:val="none"/>
                          <w:lang w:val="en-US" w:eastAsia="zh-CN"/>
                        </w:rPr>
                      </w:pPr>
                      <w:r>
                        <w:rPr>
                          <w:rFonts w:hint="eastAsia" w:ascii="方正小标宋简体" w:hAnsi="方正小标宋简体" w:eastAsia="方正小标宋简体" w:cs="方正小标宋简体"/>
                          <w:b w:val="0"/>
                          <w:bCs w:val="0"/>
                          <w:color w:val="auto"/>
                          <w:spacing w:val="0"/>
                          <w:sz w:val="36"/>
                          <w:szCs w:val="36"/>
                          <w:highlight w:val="none"/>
                          <w:lang w:val="en-US" w:eastAsia="zh-CN"/>
                        </w:rPr>
                        <w:t>乌拉特中旗井灌区农业用水超定额累进加价</w:t>
                      </w:r>
                    </w:p>
                    <w:p w14:paraId="55CEC6BE">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val="0"/>
                          <w:bCs w:val="0"/>
                          <w:spacing w:val="0"/>
                          <w:sz w:val="36"/>
                          <w:szCs w:val="36"/>
                          <w:highlight w:val="none"/>
                          <w:lang w:val="en-US" w:eastAsia="zh-CN"/>
                        </w:rPr>
                      </w:pPr>
                      <w:r>
                        <w:rPr>
                          <w:rFonts w:hint="eastAsia" w:ascii="方正小标宋简体" w:hAnsi="方正小标宋简体" w:eastAsia="方正小标宋简体" w:cs="方正小标宋简体"/>
                          <w:b w:val="0"/>
                          <w:bCs w:val="0"/>
                          <w:color w:val="auto"/>
                          <w:spacing w:val="0"/>
                          <w:sz w:val="36"/>
                          <w:szCs w:val="36"/>
                          <w:highlight w:val="none"/>
                          <w:lang w:val="en-US" w:eastAsia="zh-CN"/>
                        </w:rPr>
                        <w:t>指导意见</w:t>
                      </w:r>
                      <w:r>
                        <w:rPr>
                          <w:rFonts w:hint="eastAsia" w:ascii="方正小标宋简体" w:hAnsi="方正小标宋简体" w:eastAsia="方正小标宋简体" w:cs="方正小标宋简体"/>
                          <w:b w:val="0"/>
                          <w:bCs w:val="0"/>
                          <w:spacing w:val="0"/>
                          <w:sz w:val="36"/>
                          <w:szCs w:val="36"/>
                          <w:highlight w:val="none"/>
                          <w:lang w:val="en-US" w:eastAsia="zh-CN"/>
                        </w:rPr>
                        <w:t>（试行）</w:t>
                      </w:r>
                    </w:p>
                    <w:p w14:paraId="6CC135F6">
                      <w:pPr>
                        <w:keepNext w:val="0"/>
                        <w:keepLines w:val="0"/>
                        <w:pageBreakBefore w:val="0"/>
                        <w:widowControl/>
                        <w:kinsoku w:val="0"/>
                        <w:wordWrap/>
                        <w:overflowPunct/>
                        <w:topLinePunct w:val="0"/>
                        <w:autoSpaceDE w:val="0"/>
                        <w:autoSpaceDN w:val="0"/>
                        <w:bidi w:val="0"/>
                        <w:adjustRightInd/>
                        <w:snapToGrid/>
                        <w:spacing w:line="600" w:lineRule="exact"/>
                        <w:ind w:right="0"/>
                        <w:jc w:val="center"/>
                        <w:textAlignment w:val="baseline"/>
                        <w:rPr>
                          <w:rFonts w:hint="default" w:ascii="Times New Roman" w:hAnsi="Times New Roman" w:eastAsia="方正小标宋_GBK" w:cs="Times New Roman"/>
                          <w:b w:val="0"/>
                          <w:bCs w:val="0"/>
                          <w:spacing w:val="-11"/>
                          <w:sz w:val="44"/>
                          <w:szCs w:val="44"/>
                        </w:rPr>
                      </w:pPr>
                      <w:r>
                        <w:rPr>
                          <w:rFonts w:hint="default" w:ascii="Times New Roman" w:hAnsi="Times New Roman" w:eastAsia="方正小标宋_GBK" w:cs="Times New Roman"/>
                          <w:b w:val="0"/>
                          <w:bCs w:val="0"/>
                          <w:spacing w:val="-11"/>
                          <w:sz w:val="44"/>
                          <w:szCs w:val="44"/>
                        </w:rPr>
                        <w:t>整治行动方案</w:t>
                      </w:r>
                    </w:p>
                    <w:p w14:paraId="6A5645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的通知</w:t>
                      </w:r>
                    </w:p>
                    <w:p w14:paraId="6253A57D"/>
                  </w:txbxContent>
                </v:textbox>
                <w10:wrap type="topAndBottom"/>
              </v:shape>
            </w:pict>
          </mc:Fallback>
        </mc:AlternateContent>
      </w:r>
      <w:r>
        <w:rPr>
          <w:rFonts w:hint="default" w:ascii="Times New Roman" w:hAnsi="Times New Roman" w:eastAsia="仿宋" w:cs="Times New Roman"/>
          <w:sz w:val="21"/>
          <w:szCs w:val="21"/>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4413250"/>
                <wp:effectExtent l="4445" t="4445" r="11430" b="17145"/>
                <wp:wrapSquare wrapText="bothSides"/>
                <wp:docPr id="1" name="文本框 27"/>
                <wp:cNvGraphicFramePr/>
                <a:graphic xmlns:a="http://schemas.openxmlformats.org/drawingml/2006/main">
                  <a:graphicData uri="http://schemas.microsoft.com/office/word/2010/wordprocessingShape">
                    <wps:wsp>
                      <wps:cNvSpPr/>
                      <wps:spPr>
                        <a:xfrm>
                          <a:off x="0" y="0"/>
                          <a:ext cx="5882005" cy="441325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326F853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bCs/>
                                <w:color w:val="000000"/>
                                <w:sz w:val="32"/>
                                <w:szCs w:val="32"/>
                              </w:rPr>
                            </w:pPr>
                          </w:p>
                          <w:p w14:paraId="43E723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36"/>
                                <w:szCs w:val="36"/>
                                <w:highlight w:val="none"/>
                                <w:lang w:eastAsia="zh-CN"/>
                              </w:rPr>
                            </w:pPr>
                            <w:r>
                              <w:rPr>
                                <w:rFonts w:hint="default" w:ascii="Times New Roman" w:hAnsi="Times New Roman" w:eastAsia="方正小标宋简体" w:cs="Times New Roman"/>
                                <w:b w:val="0"/>
                                <w:bCs w:val="0"/>
                                <w:color w:val="000000"/>
                                <w:sz w:val="36"/>
                                <w:szCs w:val="36"/>
                                <w:highlight w:val="none"/>
                                <w:lang w:eastAsia="zh-CN"/>
                              </w:rPr>
                              <w:t>乌拉特</w:t>
                            </w:r>
                            <w:r>
                              <w:rPr>
                                <w:rFonts w:hint="default" w:ascii="Times New Roman" w:hAnsi="Times New Roman" w:eastAsia="方正小标宋简体" w:cs="Times New Roman"/>
                                <w:b w:val="0"/>
                                <w:bCs w:val="0"/>
                                <w:color w:val="000000"/>
                                <w:sz w:val="36"/>
                                <w:szCs w:val="36"/>
                                <w:highlight w:val="none"/>
                                <w:lang w:val="en-US" w:eastAsia="zh-CN"/>
                              </w:rPr>
                              <w:t>中</w:t>
                            </w:r>
                            <w:r>
                              <w:rPr>
                                <w:rFonts w:hint="default" w:ascii="Times New Roman" w:hAnsi="Times New Roman" w:eastAsia="方正小标宋简体" w:cs="Times New Roman"/>
                                <w:b w:val="0"/>
                                <w:bCs w:val="0"/>
                                <w:color w:val="000000"/>
                                <w:sz w:val="36"/>
                                <w:szCs w:val="36"/>
                                <w:highlight w:val="none"/>
                                <w:lang w:eastAsia="zh-CN"/>
                              </w:rPr>
                              <w:t>旗人民政府办公室</w:t>
                            </w:r>
                          </w:p>
                          <w:p w14:paraId="532F1E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pacing w:val="0"/>
                                <w:sz w:val="36"/>
                                <w:szCs w:val="36"/>
                                <w:highlight w:val="none"/>
                                <w:lang w:val="en-US" w:eastAsia="zh-CN"/>
                              </w:rPr>
                            </w:pPr>
                            <w:r>
                              <w:rPr>
                                <w:rFonts w:hint="default" w:ascii="Times New Roman" w:hAnsi="Times New Roman" w:eastAsia="方正小标宋简体" w:cs="Times New Roman"/>
                                <w:b w:val="0"/>
                                <w:bCs w:val="0"/>
                                <w:color w:val="000000"/>
                                <w:sz w:val="36"/>
                                <w:szCs w:val="36"/>
                                <w:highlight w:val="none"/>
                                <w:lang w:eastAsia="zh-CN"/>
                              </w:rPr>
                              <w:t>关于印发《</w:t>
                            </w:r>
                            <w:r>
                              <w:rPr>
                                <w:rFonts w:hint="default" w:ascii="Times New Roman" w:hAnsi="Times New Roman" w:eastAsia="方正小标宋简体" w:cs="Times New Roman"/>
                                <w:b w:val="0"/>
                                <w:bCs w:val="0"/>
                                <w:color w:val="auto"/>
                                <w:spacing w:val="0"/>
                                <w:sz w:val="36"/>
                                <w:szCs w:val="36"/>
                                <w:highlight w:val="none"/>
                                <w:lang w:val="en-US" w:eastAsia="zh-CN"/>
                              </w:rPr>
                              <w:t>乌拉特中旗井灌区农业用水超定额累进加价</w:t>
                            </w:r>
                          </w:p>
                          <w:p w14:paraId="6C21DEA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36"/>
                                <w:szCs w:val="36"/>
                                <w:highlight w:val="none"/>
                                <w:lang w:eastAsia="zh-CN"/>
                              </w:rPr>
                            </w:pPr>
                            <w:r>
                              <w:rPr>
                                <w:rFonts w:hint="default" w:ascii="Times New Roman" w:hAnsi="Times New Roman" w:eastAsia="方正小标宋简体" w:cs="Times New Roman"/>
                                <w:b w:val="0"/>
                                <w:bCs w:val="0"/>
                                <w:color w:val="auto"/>
                                <w:spacing w:val="0"/>
                                <w:sz w:val="36"/>
                                <w:szCs w:val="36"/>
                                <w:highlight w:val="none"/>
                                <w:lang w:val="en-US" w:eastAsia="zh-CN"/>
                              </w:rPr>
                              <w:t>指导意见（试行）</w:t>
                            </w:r>
                            <w:r>
                              <w:rPr>
                                <w:rFonts w:hint="default" w:ascii="Times New Roman" w:hAnsi="Times New Roman" w:eastAsia="方正小标宋简体" w:cs="Times New Roman"/>
                                <w:b w:val="0"/>
                                <w:bCs w:val="0"/>
                                <w:color w:val="000000"/>
                                <w:sz w:val="36"/>
                                <w:szCs w:val="36"/>
                                <w:highlight w:val="none"/>
                                <w:lang w:eastAsia="zh-CN"/>
                              </w:rPr>
                              <w:t>》的通知</w:t>
                            </w:r>
                          </w:p>
                          <w:p w14:paraId="1A35AC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000000"/>
                                <w:sz w:val="36"/>
                                <w:szCs w:val="36"/>
                                <w:highlight w:val="none"/>
                                <w:lang w:eastAsia="zh-CN"/>
                              </w:rPr>
                            </w:pPr>
                          </w:p>
                          <w:p w14:paraId="6A7C612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b w:val="0"/>
                                <w:bCs w:val="0"/>
                                <w:color w:val="000000"/>
                                <w:sz w:val="28"/>
                                <w:szCs w:val="28"/>
                                <w:highlight w:val="none"/>
                                <w:lang w:eastAsia="zh-CN"/>
                              </w:rPr>
                            </w:pPr>
                            <w:r>
                              <w:rPr>
                                <w:rFonts w:hint="default" w:ascii="Times New Roman" w:hAnsi="Times New Roman" w:eastAsia="仿宋" w:cs="Times New Roman"/>
                                <w:b w:val="0"/>
                                <w:bCs w:val="0"/>
                                <w:color w:val="000000"/>
                                <w:sz w:val="28"/>
                                <w:szCs w:val="28"/>
                                <w:highlight w:val="none"/>
                                <w:lang w:eastAsia="zh-CN"/>
                              </w:rPr>
                              <w:t>各相关苏木镇、</w:t>
                            </w:r>
                            <w:r>
                              <w:rPr>
                                <w:rFonts w:hint="default" w:ascii="Times New Roman" w:hAnsi="Times New Roman" w:eastAsia="仿宋" w:cs="Times New Roman"/>
                                <w:b w:val="0"/>
                                <w:bCs w:val="0"/>
                                <w:color w:val="000000"/>
                                <w:sz w:val="28"/>
                                <w:szCs w:val="28"/>
                                <w:highlight w:val="none"/>
                                <w:lang w:val="en-US" w:eastAsia="zh-CN"/>
                              </w:rPr>
                              <w:t>中心公司</w:t>
                            </w:r>
                            <w:r>
                              <w:rPr>
                                <w:rFonts w:hint="default" w:ascii="Times New Roman" w:hAnsi="Times New Roman" w:eastAsia="仿宋" w:cs="Times New Roman"/>
                                <w:b w:val="0"/>
                                <w:bCs w:val="0"/>
                                <w:color w:val="000000"/>
                                <w:sz w:val="28"/>
                                <w:szCs w:val="28"/>
                                <w:highlight w:val="none"/>
                                <w:lang w:eastAsia="zh-CN"/>
                              </w:rPr>
                              <w:t>和相关单位：</w:t>
                            </w:r>
                          </w:p>
                          <w:p w14:paraId="5C81BD4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Times New Roman"/>
                                <w:b w:val="0"/>
                                <w:bCs w:val="0"/>
                                <w:color w:val="000000"/>
                                <w:sz w:val="28"/>
                                <w:szCs w:val="28"/>
                                <w:highlight w:val="none"/>
                                <w:lang w:eastAsia="zh-CN"/>
                              </w:rPr>
                            </w:pP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为加强超采区治理及农业灌溉地下水精细化管理，</w:t>
                            </w:r>
                            <w:r>
                              <w:rPr>
                                <w:rFonts w:hint="default" w:ascii="Times New Roman" w:hAnsi="Times New Roman" w:eastAsia="仿宋" w:cs="Times New Roman"/>
                                <w:spacing w:val="0"/>
                                <w:sz w:val="28"/>
                                <w:szCs w:val="28"/>
                                <w:highlight w:val="none"/>
                                <w:lang w:val="en-US" w:eastAsia="zh-CN"/>
                              </w:rPr>
                              <w:t>提高用户节水意识，遏制地下水超采，持续恢复生态环境。</w:t>
                            </w:r>
                            <w:r>
                              <w:rPr>
                                <w:rFonts w:hint="default" w:ascii="Times New Roman" w:hAnsi="Times New Roman" w:eastAsia="仿宋" w:cs="Times New Roman"/>
                                <w:color w:val="000000"/>
                                <w:sz w:val="28"/>
                                <w:szCs w:val="28"/>
                                <w:highlight w:val="none"/>
                                <w:lang w:eastAsia="zh-CN"/>
                              </w:rPr>
                              <w:t>现将</w:t>
                            </w:r>
                            <w:r>
                              <w:rPr>
                                <w:rFonts w:hint="default" w:ascii="Times New Roman" w:hAnsi="Times New Roman" w:eastAsia="仿宋" w:cs="Times New Roman"/>
                                <w:b w:val="0"/>
                                <w:bCs w:val="0"/>
                                <w:color w:val="000000"/>
                                <w:sz w:val="28"/>
                                <w:szCs w:val="28"/>
                                <w:highlight w:val="none"/>
                                <w:lang w:eastAsia="zh-CN"/>
                              </w:rPr>
                              <w:t>《乌拉特</w:t>
                            </w:r>
                            <w:r>
                              <w:rPr>
                                <w:rFonts w:hint="default" w:ascii="Times New Roman" w:hAnsi="Times New Roman" w:eastAsia="仿宋" w:cs="Times New Roman"/>
                                <w:b w:val="0"/>
                                <w:bCs w:val="0"/>
                                <w:color w:val="000000"/>
                                <w:sz w:val="28"/>
                                <w:szCs w:val="28"/>
                                <w:highlight w:val="none"/>
                                <w:lang w:val="en-US" w:eastAsia="zh-CN"/>
                              </w:rPr>
                              <w:t>中</w:t>
                            </w:r>
                            <w:r>
                              <w:rPr>
                                <w:rFonts w:hint="default" w:ascii="Times New Roman" w:hAnsi="Times New Roman" w:eastAsia="仿宋" w:cs="Times New Roman"/>
                                <w:b w:val="0"/>
                                <w:bCs w:val="0"/>
                                <w:color w:val="000000"/>
                                <w:sz w:val="28"/>
                                <w:szCs w:val="28"/>
                                <w:highlight w:val="none"/>
                                <w:lang w:eastAsia="zh-CN"/>
                              </w:rPr>
                              <w:t>旗井灌区农业用水超定额累进加价指导意见（</w:t>
                            </w:r>
                            <w:r>
                              <w:rPr>
                                <w:rFonts w:hint="default" w:ascii="Times New Roman" w:hAnsi="Times New Roman" w:eastAsia="仿宋" w:cs="Times New Roman"/>
                                <w:b w:val="0"/>
                                <w:bCs w:val="0"/>
                                <w:color w:val="000000"/>
                                <w:sz w:val="28"/>
                                <w:szCs w:val="28"/>
                                <w:highlight w:val="none"/>
                                <w:lang w:val="en-US" w:eastAsia="zh-CN"/>
                              </w:rPr>
                              <w:t>试行</w:t>
                            </w:r>
                            <w:r>
                              <w:rPr>
                                <w:rFonts w:hint="default" w:ascii="Times New Roman" w:hAnsi="Times New Roman" w:eastAsia="仿宋" w:cs="Times New Roman"/>
                                <w:b w:val="0"/>
                                <w:bCs w:val="0"/>
                                <w:color w:val="000000"/>
                                <w:sz w:val="28"/>
                                <w:szCs w:val="28"/>
                                <w:highlight w:val="none"/>
                                <w:lang w:eastAsia="zh-CN"/>
                              </w:rPr>
                              <w:t>）》印发给你们，请认真遵照执行。</w:t>
                            </w:r>
                          </w:p>
                          <w:p w14:paraId="5F02F78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22"/>
                                <w:szCs w:val="22"/>
                              </w:rPr>
                            </w:pPr>
                          </w:p>
                          <w:p w14:paraId="4C198635">
                            <w:pPr>
                              <w:keepNext w:val="0"/>
                              <w:keepLines w:val="0"/>
                              <w:pageBreakBefore w:val="0"/>
                              <w:widowControl w:val="0"/>
                              <w:kinsoku/>
                              <w:wordWrap/>
                              <w:overflowPunct/>
                              <w:topLinePunct w:val="0"/>
                              <w:autoSpaceDE/>
                              <w:autoSpaceDN/>
                              <w:bidi w:val="0"/>
                              <w:adjustRightInd/>
                              <w:snapToGrid/>
                              <w:spacing w:line="560" w:lineRule="exact"/>
                              <w:ind w:firstLine="5600" w:firstLineChars="2000"/>
                              <w:textAlignment w:val="auto"/>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乌拉特中旗人民政府办公室</w:t>
                            </w:r>
                          </w:p>
                          <w:p w14:paraId="58A9DFD3">
                            <w:pPr>
                              <w:keepNext w:val="0"/>
                              <w:keepLines w:val="0"/>
                              <w:pageBreakBefore w:val="0"/>
                              <w:widowControl w:val="0"/>
                              <w:kinsoku/>
                              <w:wordWrap/>
                              <w:overflowPunct/>
                              <w:topLinePunct w:val="0"/>
                              <w:autoSpaceDE/>
                              <w:autoSpaceDN/>
                              <w:bidi w:val="0"/>
                              <w:adjustRightInd/>
                              <w:snapToGrid/>
                              <w:spacing w:line="560" w:lineRule="exact"/>
                              <w:ind w:firstLine="5600" w:firstLineChars="20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2024年6月18日</w:t>
                            </w:r>
                          </w:p>
                          <w:p w14:paraId="0ABAD962">
                            <w:pPr>
                              <w:keepNext w:val="0"/>
                              <w:keepLines w:val="0"/>
                              <w:pageBreakBefore w:val="0"/>
                              <w:widowControl w:val="0"/>
                              <w:kinsoku/>
                              <w:wordWrap/>
                              <w:overflowPunct/>
                              <w:topLinePunct w:val="0"/>
                              <w:bidi w:val="0"/>
                              <w:snapToGrid/>
                              <w:spacing w:line="560" w:lineRule="exact"/>
                              <w:textAlignment w:val="auto"/>
                              <w:rPr>
                                <w:sz w:val="20"/>
                                <w:szCs w:val="28"/>
                              </w:rPr>
                            </w:pPr>
                          </w:p>
                        </w:txbxContent>
                      </wps:txbx>
                      <wps:bodyPr vert="horz" wrap="square" anchor="t" anchorCtr="0" upright="1"/>
                    </wps:wsp>
                  </a:graphicData>
                </a:graphic>
              </wp:anchor>
            </w:drawing>
          </mc:Choice>
          <mc:Fallback>
            <w:pict>
              <v:rect id="文本框 27" o:spid="_x0000_s1026" o:spt="1" style="position:absolute;left:0pt;margin-left:1.25pt;margin-top:-13.45pt;height:347.5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bYCwe&#10;1wAAAAkBAAAPAAAAAAAAAAEAIAAAACIAAABkcnMvZG93bnJldi54bWxQSwECFAAUAAAACACHTuJA&#10;eFnRFSICAABhBAAADgAAAAAAAAABACAAAAAmAQAAZHJzL2Uyb0RvYy54bWxQSwUGAAAAAAYABgBZ&#10;AQAAugUAAAAA&#10;">
                <v:fill on="t" focussize="0,0"/>
                <v:stroke weight="0.5pt" color="#FFFFFF" joinstyle="miter"/>
                <v:imagedata o:title=""/>
                <o:lock v:ext="edit" aspectratio="f"/>
                <v:textbox>
                  <w:txbxContent>
                    <w:p w14:paraId="326F853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bCs/>
                          <w:color w:val="000000"/>
                          <w:sz w:val="32"/>
                          <w:szCs w:val="32"/>
                        </w:rPr>
                      </w:pPr>
                    </w:p>
                    <w:p w14:paraId="43E723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36"/>
                          <w:szCs w:val="36"/>
                          <w:highlight w:val="none"/>
                          <w:lang w:eastAsia="zh-CN"/>
                        </w:rPr>
                      </w:pPr>
                      <w:r>
                        <w:rPr>
                          <w:rFonts w:hint="default" w:ascii="Times New Roman" w:hAnsi="Times New Roman" w:eastAsia="方正小标宋简体" w:cs="Times New Roman"/>
                          <w:b w:val="0"/>
                          <w:bCs w:val="0"/>
                          <w:color w:val="000000"/>
                          <w:sz w:val="36"/>
                          <w:szCs w:val="36"/>
                          <w:highlight w:val="none"/>
                          <w:lang w:eastAsia="zh-CN"/>
                        </w:rPr>
                        <w:t>乌拉特</w:t>
                      </w:r>
                      <w:r>
                        <w:rPr>
                          <w:rFonts w:hint="default" w:ascii="Times New Roman" w:hAnsi="Times New Roman" w:eastAsia="方正小标宋简体" w:cs="Times New Roman"/>
                          <w:b w:val="0"/>
                          <w:bCs w:val="0"/>
                          <w:color w:val="000000"/>
                          <w:sz w:val="36"/>
                          <w:szCs w:val="36"/>
                          <w:highlight w:val="none"/>
                          <w:lang w:val="en-US" w:eastAsia="zh-CN"/>
                        </w:rPr>
                        <w:t>中</w:t>
                      </w:r>
                      <w:r>
                        <w:rPr>
                          <w:rFonts w:hint="default" w:ascii="Times New Roman" w:hAnsi="Times New Roman" w:eastAsia="方正小标宋简体" w:cs="Times New Roman"/>
                          <w:b w:val="0"/>
                          <w:bCs w:val="0"/>
                          <w:color w:val="000000"/>
                          <w:sz w:val="36"/>
                          <w:szCs w:val="36"/>
                          <w:highlight w:val="none"/>
                          <w:lang w:eastAsia="zh-CN"/>
                        </w:rPr>
                        <w:t>旗人民政府办公室</w:t>
                      </w:r>
                    </w:p>
                    <w:p w14:paraId="532F1E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auto"/>
                          <w:spacing w:val="0"/>
                          <w:sz w:val="36"/>
                          <w:szCs w:val="36"/>
                          <w:highlight w:val="none"/>
                          <w:lang w:val="en-US" w:eastAsia="zh-CN"/>
                        </w:rPr>
                      </w:pPr>
                      <w:r>
                        <w:rPr>
                          <w:rFonts w:hint="default" w:ascii="Times New Roman" w:hAnsi="Times New Roman" w:eastAsia="方正小标宋简体" w:cs="Times New Roman"/>
                          <w:b w:val="0"/>
                          <w:bCs w:val="0"/>
                          <w:color w:val="000000"/>
                          <w:sz w:val="36"/>
                          <w:szCs w:val="36"/>
                          <w:highlight w:val="none"/>
                          <w:lang w:eastAsia="zh-CN"/>
                        </w:rPr>
                        <w:t>关于印发《</w:t>
                      </w:r>
                      <w:r>
                        <w:rPr>
                          <w:rFonts w:hint="default" w:ascii="Times New Roman" w:hAnsi="Times New Roman" w:eastAsia="方正小标宋简体" w:cs="Times New Roman"/>
                          <w:b w:val="0"/>
                          <w:bCs w:val="0"/>
                          <w:color w:val="auto"/>
                          <w:spacing w:val="0"/>
                          <w:sz w:val="36"/>
                          <w:szCs w:val="36"/>
                          <w:highlight w:val="none"/>
                          <w:lang w:val="en-US" w:eastAsia="zh-CN"/>
                        </w:rPr>
                        <w:t>乌拉特中旗井灌区农业用水超定额累进加价</w:t>
                      </w:r>
                    </w:p>
                    <w:p w14:paraId="6C21DEA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color w:val="000000"/>
                          <w:sz w:val="36"/>
                          <w:szCs w:val="36"/>
                          <w:highlight w:val="none"/>
                          <w:lang w:eastAsia="zh-CN"/>
                        </w:rPr>
                      </w:pPr>
                      <w:r>
                        <w:rPr>
                          <w:rFonts w:hint="default" w:ascii="Times New Roman" w:hAnsi="Times New Roman" w:eastAsia="方正小标宋简体" w:cs="Times New Roman"/>
                          <w:b w:val="0"/>
                          <w:bCs w:val="0"/>
                          <w:color w:val="auto"/>
                          <w:spacing w:val="0"/>
                          <w:sz w:val="36"/>
                          <w:szCs w:val="36"/>
                          <w:highlight w:val="none"/>
                          <w:lang w:val="en-US" w:eastAsia="zh-CN"/>
                        </w:rPr>
                        <w:t>指导意见（试行）</w:t>
                      </w:r>
                      <w:r>
                        <w:rPr>
                          <w:rFonts w:hint="default" w:ascii="Times New Roman" w:hAnsi="Times New Roman" w:eastAsia="方正小标宋简体" w:cs="Times New Roman"/>
                          <w:b w:val="0"/>
                          <w:bCs w:val="0"/>
                          <w:color w:val="000000"/>
                          <w:sz w:val="36"/>
                          <w:szCs w:val="36"/>
                          <w:highlight w:val="none"/>
                          <w:lang w:eastAsia="zh-CN"/>
                        </w:rPr>
                        <w:t>》的通知</w:t>
                      </w:r>
                    </w:p>
                    <w:p w14:paraId="1A35AC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000000"/>
                          <w:sz w:val="36"/>
                          <w:szCs w:val="36"/>
                          <w:highlight w:val="none"/>
                          <w:lang w:eastAsia="zh-CN"/>
                        </w:rPr>
                      </w:pPr>
                    </w:p>
                    <w:p w14:paraId="6A7C612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b w:val="0"/>
                          <w:bCs w:val="0"/>
                          <w:color w:val="000000"/>
                          <w:sz w:val="28"/>
                          <w:szCs w:val="28"/>
                          <w:highlight w:val="none"/>
                          <w:lang w:eastAsia="zh-CN"/>
                        </w:rPr>
                      </w:pPr>
                      <w:r>
                        <w:rPr>
                          <w:rFonts w:hint="default" w:ascii="Times New Roman" w:hAnsi="Times New Roman" w:eastAsia="仿宋" w:cs="Times New Roman"/>
                          <w:b w:val="0"/>
                          <w:bCs w:val="0"/>
                          <w:color w:val="000000"/>
                          <w:sz w:val="28"/>
                          <w:szCs w:val="28"/>
                          <w:highlight w:val="none"/>
                          <w:lang w:eastAsia="zh-CN"/>
                        </w:rPr>
                        <w:t>各相关苏木镇、</w:t>
                      </w:r>
                      <w:r>
                        <w:rPr>
                          <w:rFonts w:hint="default" w:ascii="Times New Roman" w:hAnsi="Times New Roman" w:eastAsia="仿宋" w:cs="Times New Roman"/>
                          <w:b w:val="0"/>
                          <w:bCs w:val="0"/>
                          <w:color w:val="000000"/>
                          <w:sz w:val="28"/>
                          <w:szCs w:val="28"/>
                          <w:highlight w:val="none"/>
                          <w:lang w:val="en-US" w:eastAsia="zh-CN"/>
                        </w:rPr>
                        <w:t>中心公司</w:t>
                      </w:r>
                      <w:r>
                        <w:rPr>
                          <w:rFonts w:hint="default" w:ascii="Times New Roman" w:hAnsi="Times New Roman" w:eastAsia="仿宋" w:cs="Times New Roman"/>
                          <w:b w:val="0"/>
                          <w:bCs w:val="0"/>
                          <w:color w:val="000000"/>
                          <w:sz w:val="28"/>
                          <w:szCs w:val="28"/>
                          <w:highlight w:val="none"/>
                          <w:lang w:eastAsia="zh-CN"/>
                        </w:rPr>
                        <w:t>和相关单位：</w:t>
                      </w:r>
                    </w:p>
                    <w:p w14:paraId="5C81BD4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Times New Roman"/>
                          <w:b w:val="0"/>
                          <w:bCs w:val="0"/>
                          <w:color w:val="000000"/>
                          <w:sz w:val="28"/>
                          <w:szCs w:val="28"/>
                          <w:highlight w:val="none"/>
                          <w:lang w:eastAsia="zh-CN"/>
                        </w:rPr>
                      </w:pP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为加强超采区治理及农业灌溉地下水精细化管理，</w:t>
                      </w:r>
                      <w:r>
                        <w:rPr>
                          <w:rFonts w:hint="default" w:ascii="Times New Roman" w:hAnsi="Times New Roman" w:eastAsia="仿宋" w:cs="Times New Roman"/>
                          <w:spacing w:val="0"/>
                          <w:sz w:val="28"/>
                          <w:szCs w:val="28"/>
                          <w:highlight w:val="none"/>
                          <w:lang w:val="en-US" w:eastAsia="zh-CN"/>
                        </w:rPr>
                        <w:t>提高用户节水意识，遏制地下水超采，持续恢复生态环境。</w:t>
                      </w:r>
                      <w:r>
                        <w:rPr>
                          <w:rFonts w:hint="default" w:ascii="Times New Roman" w:hAnsi="Times New Roman" w:eastAsia="仿宋" w:cs="Times New Roman"/>
                          <w:color w:val="000000"/>
                          <w:sz w:val="28"/>
                          <w:szCs w:val="28"/>
                          <w:highlight w:val="none"/>
                          <w:lang w:eastAsia="zh-CN"/>
                        </w:rPr>
                        <w:t>现将</w:t>
                      </w:r>
                      <w:r>
                        <w:rPr>
                          <w:rFonts w:hint="default" w:ascii="Times New Roman" w:hAnsi="Times New Roman" w:eastAsia="仿宋" w:cs="Times New Roman"/>
                          <w:b w:val="0"/>
                          <w:bCs w:val="0"/>
                          <w:color w:val="000000"/>
                          <w:sz w:val="28"/>
                          <w:szCs w:val="28"/>
                          <w:highlight w:val="none"/>
                          <w:lang w:eastAsia="zh-CN"/>
                        </w:rPr>
                        <w:t>《乌拉特</w:t>
                      </w:r>
                      <w:r>
                        <w:rPr>
                          <w:rFonts w:hint="default" w:ascii="Times New Roman" w:hAnsi="Times New Roman" w:eastAsia="仿宋" w:cs="Times New Roman"/>
                          <w:b w:val="0"/>
                          <w:bCs w:val="0"/>
                          <w:color w:val="000000"/>
                          <w:sz w:val="28"/>
                          <w:szCs w:val="28"/>
                          <w:highlight w:val="none"/>
                          <w:lang w:val="en-US" w:eastAsia="zh-CN"/>
                        </w:rPr>
                        <w:t>中</w:t>
                      </w:r>
                      <w:r>
                        <w:rPr>
                          <w:rFonts w:hint="default" w:ascii="Times New Roman" w:hAnsi="Times New Roman" w:eastAsia="仿宋" w:cs="Times New Roman"/>
                          <w:b w:val="0"/>
                          <w:bCs w:val="0"/>
                          <w:color w:val="000000"/>
                          <w:sz w:val="28"/>
                          <w:szCs w:val="28"/>
                          <w:highlight w:val="none"/>
                          <w:lang w:eastAsia="zh-CN"/>
                        </w:rPr>
                        <w:t>旗井灌区农业用水超定额累进加价指导意见（</w:t>
                      </w:r>
                      <w:r>
                        <w:rPr>
                          <w:rFonts w:hint="default" w:ascii="Times New Roman" w:hAnsi="Times New Roman" w:eastAsia="仿宋" w:cs="Times New Roman"/>
                          <w:b w:val="0"/>
                          <w:bCs w:val="0"/>
                          <w:color w:val="000000"/>
                          <w:sz w:val="28"/>
                          <w:szCs w:val="28"/>
                          <w:highlight w:val="none"/>
                          <w:lang w:val="en-US" w:eastAsia="zh-CN"/>
                        </w:rPr>
                        <w:t>试行</w:t>
                      </w:r>
                      <w:r>
                        <w:rPr>
                          <w:rFonts w:hint="default" w:ascii="Times New Roman" w:hAnsi="Times New Roman" w:eastAsia="仿宋" w:cs="Times New Roman"/>
                          <w:b w:val="0"/>
                          <w:bCs w:val="0"/>
                          <w:color w:val="000000"/>
                          <w:sz w:val="28"/>
                          <w:szCs w:val="28"/>
                          <w:highlight w:val="none"/>
                          <w:lang w:eastAsia="zh-CN"/>
                        </w:rPr>
                        <w:t>）》印发给你们，请认真遵照执行。</w:t>
                      </w:r>
                    </w:p>
                    <w:p w14:paraId="5F02F78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22"/>
                          <w:szCs w:val="22"/>
                        </w:rPr>
                      </w:pPr>
                    </w:p>
                    <w:p w14:paraId="4C198635">
                      <w:pPr>
                        <w:keepNext w:val="0"/>
                        <w:keepLines w:val="0"/>
                        <w:pageBreakBefore w:val="0"/>
                        <w:widowControl w:val="0"/>
                        <w:kinsoku/>
                        <w:wordWrap/>
                        <w:overflowPunct/>
                        <w:topLinePunct w:val="0"/>
                        <w:autoSpaceDE/>
                        <w:autoSpaceDN/>
                        <w:bidi w:val="0"/>
                        <w:adjustRightInd/>
                        <w:snapToGrid/>
                        <w:spacing w:line="560" w:lineRule="exact"/>
                        <w:ind w:firstLine="5600" w:firstLineChars="2000"/>
                        <w:textAlignment w:val="auto"/>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乌拉特中旗人民政府办公室</w:t>
                      </w:r>
                    </w:p>
                    <w:p w14:paraId="58A9DFD3">
                      <w:pPr>
                        <w:keepNext w:val="0"/>
                        <w:keepLines w:val="0"/>
                        <w:pageBreakBefore w:val="0"/>
                        <w:widowControl w:val="0"/>
                        <w:kinsoku/>
                        <w:wordWrap/>
                        <w:overflowPunct/>
                        <w:topLinePunct w:val="0"/>
                        <w:autoSpaceDE/>
                        <w:autoSpaceDN/>
                        <w:bidi w:val="0"/>
                        <w:adjustRightInd/>
                        <w:snapToGrid/>
                        <w:spacing w:line="560" w:lineRule="exact"/>
                        <w:ind w:firstLine="5600" w:firstLineChars="20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2024年6月18日</w:t>
                      </w:r>
                    </w:p>
                    <w:p w14:paraId="0ABAD962">
                      <w:pPr>
                        <w:keepNext w:val="0"/>
                        <w:keepLines w:val="0"/>
                        <w:pageBreakBefore w:val="0"/>
                        <w:widowControl w:val="0"/>
                        <w:kinsoku/>
                        <w:wordWrap/>
                        <w:overflowPunct/>
                        <w:topLinePunct w:val="0"/>
                        <w:bidi w:val="0"/>
                        <w:snapToGrid/>
                        <w:spacing w:line="560" w:lineRule="exact"/>
                        <w:textAlignment w:val="auto"/>
                        <w:rPr>
                          <w:sz w:val="20"/>
                          <w:szCs w:val="28"/>
                        </w:rPr>
                      </w:pPr>
                    </w:p>
                  </w:txbxContent>
                </v:textbox>
                <w10:wrap type="square"/>
              </v:rect>
            </w:pict>
          </mc:Fallback>
        </mc:AlternateContent>
      </w:r>
      <w:r>
        <w:rPr>
          <w:rFonts w:hint="default" w:ascii="Times New Roman" w:hAnsi="Times New Roman" w:eastAsia="仿宋" w:cs="Times New Roman"/>
          <w:sz w:val="21"/>
          <w:szCs w:val="21"/>
          <w:lang w:val="en-US" w:eastAsia="zh-CN"/>
        </w:rPr>
        <w:t xml:space="preserve">    </w:t>
      </w:r>
    </w:p>
    <w:p w14:paraId="5A24BCA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pPr>
      <w:bookmarkStart w:id="1" w:name="_GoBack"/>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根据《内蒙古自治区“十四五”水资源配置利用规划》，我旗地下水年用水量管控指标为1.61亿立方米，旗水利部门许可农业灌溉地下水量1.22亿立方米，</w:t>
      </w:r>
      <w:r>
        <w:rPr>
          <w:rFonts w:hint="default" w:ascii="Times New Roman" w:hAnsi="Times New Roman" w:eastAsia="仿宋" w:cs="Times New Roman"/>
          <w:spacing w:val="0"/>
          <w:sz w:val="28"/>
          <w:szCs w:val="28"/>
          <w:highlight w:val="none"/>
          <w:lang w:val="en-US" w:eastAsia="zh-CN"/>
        </w:rPr>
        <w:t>全旗井灌区</w:t>
      </w: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涉及耕地96.82万亩，亩均可用水量仅为126立方米，地下水灌溉供需矛盾非常突出，超采区治理形势异常严峻。为加强超采区治理及农业灌溉地下水精</w:t>
      </w:r>
    </w:p>
    <w:p w14:paraId="171C9B0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pPr>
    </w:p>
    <w:p w14:paraId="731251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细化管理，促进地下水可持续利用，结合我旗地下水超采治理工作实际，制定如下指导意见。</w:t>
      </w:r>
    </w:p>
    <w:p w14:paraId="18484F34">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spacing w:val="0"/>
          <w:sz w:val="28"/>
          <w:szCs w:val="28"/>
          <w:highlight w:val="none"/>
          <w:lang w:val="en-US" w:eastAsia="zh-CN"/>
        </w:rPr>
      </w:pPr>
      <w:r>
        <w:rPr>
          <w:rFonts w:hint="default" w:ascii="Times New Roman" w:hAnsi="Times New Roman" w:eastAsia="黑体" w:cs="Times New Roman"/>
          <w:spacing w:val="0"/>
          <w:kern w:val="2"/>
          <w:sz w:val="28"/>
          <w:szCs w:val="28"/>
          <w:highlight w:val="none"/>
          <w:lang w:val="en-US" w:eastAsia="zh-CN" w:bidi="ar-SA"/>
        </w:rPr>
        <w:t>一</w:t>
      </w:r>
      <w:r>
        <w:rPr>
          <w:rFonts w:hint="default" w:ascii="Times New Roman" w:hAnsi="Times New Roman" w:eastAsia="黑体" w:cs="Times New Roman"/>
          <w:spacing w:val="0"/>
          <w:sz w:val="28"/>
          <w:szCs w:val="28"/>
          <w:highlight w:val="none"/>
          <w:lang w:val="en-US" w:eastAsia="zh-CN"/>
        </w:rPr>
        <w:t>、指导思想</w:t>
      </w:r>
    </w:p>
    <w:p w14:paraId="5C8B5CE4">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仿宋" w:cs="Times New Roman"/>
          <w:spacing w:val="0"/>
          <w:sz w:val="28"/>
          <w:szCs w:val="28"/>
          <w:highlight w:val="none"/>
          <w:lang w:val="en-US" w:eastAsia="zh-CN"/>
        </w:rPr>
      </w:pPr>
      <w:r>
        <w:rPr>
          <w:rFonts w:hint="default" w:ascii="Times New Roman" w:hAnsi="Times New Roman" w:eastAsia="仿宋" w:cs="Times New Roman"/>
          <w:spacing w:val="0"/>
          <w:sz w:val="28"/>
          <w:szCs w:val="28"/>
          <w:highlight w:val="none"/>
          <w:lang w:val="en-US" w:eastAsia="zh-CN"/>
        </w:rPr>
        <w:t>以习近平新时代中国特色社会主义思想为指导，坚持“节水优先、空间均衡、系统治理、两手发力”治水方针，以地下水可持续利用为目标，本着提高用户节水意识，利用价格杠杆促进节水，遏制地下水超采，持续恢复生态环境，有力支撑我旗经济社会可持续发展。</w:t>
      </w:r>
    </w:p>
    <w:p w14:paraId="59896F8B">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spacing w:val="0"/>
          <w:kern w:val="2"/>
          <w:sz w:val="28"/>
          <w:szCs w:val="28"/>
          <w:highlight w:val="none"/>
          <w:lang w:val="en-US" w:eastAsia="zh-CN" w:bidi="ar-SA"/>
        </w:rPr>
      </w:pPr>
      <w:r>
        <w:rPr>
          <w:rFonts w:hint="default" w:ascii="Times New Roman" w:hAnsi="Times New Roman" w:eastAsia="黑体" w:cs="Times New Roman"/>
          <w:spacing w:val="0"/>
          <w:kern w:val="2"/>
          <w:sz w:val="28"/>
          <w:szCs w:val="28"/>
          <w:highlight w:val="none"/>
          <w:lang w:val="en-US" w:eastAsia="zh-CN" w:bidi="ar-SA"/>
        </w:rPr>
        <w:t>二、基本原则</w:t>
      </w:r>
    </w:p>
    <w:p w14:paraId="3CBBE80C">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坚持总量控制、定额管理。按照农业节水增效有关要求，进一步强化用水定额管理，落实超定额累进加价制度，对超定额用水采取加价收费。</w:t>
      </w:r>
    </w:p>
    <w:p w14:paraId="259B3252">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坚持取之于水、用之于水。收取水费主要用于井灌区节水工程改造和节水奖励，保障农业节水和水利工程良性运行。</w:t>
      </w:r>
    </w:p>
    <w:p w14:paraId="47E0B11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坚持公开透明、稳妥推进。各苏木镇、中心公司及发改、水利等部门负责做好井灌区农业用水超定额累进加价相关政策解读，加强舆论引导，积极营造农业节水良好氛围。</w:t>
      </w:r>
    </w:p>
    <w:p w14:paraId="7F83CFE2">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spacing w:val="0"/>
          <w:kern w:val="2"/>
          <w:sz w:val="28"/>
          <w:szCs w:val="28"/>
          <w:highlight w:val="none"/>
          <w:lang w:val="en-US" w:eastAsia="zh-CN" w:bidi="ar-SA"/>
        </w:rPr>
      </w:pPr>
      <w:r>
        <w:rPr>
          <w:rFonts w:hint="default" w:ascii="Times New Roman" w:hAnsi="Times New Roman" w:eastAsia="黑体" w:cs="Times New Roman"/>
          <w:spacing w:val="0"/>
          <w:kern w:val="2"/>
          <w:sz w:val="28"/>
          <w:szCs w:val="28"/>
          <w:highlight w:val="none"/>
          <w:lang w:val="en-US" w:eastAsia="zh-CN" w:bidi="ar-SA"/>
        </w:rPr>
        <w:t>三、编制依据</w:t>
      </w:r>
      <w:bookmarkStart w:id="0" w:name="_Hlk536556522"/>
    </w:p>
    <w:p w14:paraId="33640E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bCs/>
          <w:color w:val="auto"/>
          <w:spacing w:val="0"/>
          <w:kern w:val="2"/>
          <w:sz w:val="28"/>
          <w:szCs w:val="28"/>
          <w:highlight w:val="none"/>
          <w:u w:val="none"/>
          <w:shd w:val="clear" w:color="auto" w:fill="FFFFFF"/>
          <w:lang w:val="en-US" w:eastAsia="zh-CN" w:bidi="ar-SA"/>
        </w:rPr>
        <w:t>根据</w:t>
      </w:r>
      <w:r>
        <w:rPr>
          <w:rFonts w:hint="default" w:ascii="Times New Roman" w:hAnsi="Times New Roman" w:eastAsia="仿宋" w:cs="Times New Roman"/>
          <w:i w:val="0"/>
          <w:iCs w:val="0"/>
          <w:caps w:val="0"/>
          <w:color w:val="auto"/>
          <w:spacing w:val="0"/>
          <w:sz w:val="28"/>
          <w:szCs w:val="28"/>
          <w:highlight w:val="none"/>
          <w:u w:val="none"/>
          <w:shd w:val="clear" w:color="auto" w:fill="FFFFFF"/>
        </w:rPr>
        <w:t>《中华人民共和国水法》《取水许可和水资源费征收管理条例》</w:t>
      </w:r>
      <w:r>
        <w:rPr>
          <w:rFonts w:hint="default" w:ascii="Times New Roman" w:hAnsi="Times New Roman" w:eastAsia="仿宋" w:cs="Times New Roman"/>
          <w:i w:val="0"/>
          <w:iCs w:val="0"/>
          <w:caps w:val="0"/>
          <w:color w:val="auto"/>
          <w:spacing w:val="0"/>
          <w:sz w:val="28"/>
          <w:szCs w:val="28"/>
          <w:highlight w:val="none"/>
          <w:u w:val="none"/>
          <w:shd w:val="clear" w:color="auto" w:fill="FFFFFF"/>
          <w:lang w:eastAsia="zh-CN"/>
        </w:rPr>
        <w:t>（</w:t>
      </w:r>
      <w:r>
        <w:rPr>
          <w:rFonts w:hint="default" w:ascii="Times New Roman" w:hAnsi="Times New Roman" w:eastAsia="仿宋" w:cs="Times New Roman"/>
          <w:i w:val="0"/>
          <w:iCs w:val="0"/>
          <w:caps w:val="0"/>
          <w:color w:val="auto"/>
          <w:spacing w:val="0"/>
          <w:sz w:val="28"/>
          <w:szCs w:val="28"/>
          <w:highlight w:val="none"/>
          <w:u w:val="none"/>
          <w:shd w:val="clear" w:color="auto" w:fill="FFFFFF"/>
        </w:rPr>
        <w:t>中华人民共和国国务院令第460号</w:t>
      </w:r>
      <w:r>
        <w:rPr>
          <w:rFonts w:hint="default" w:ascii="Times New Roman" w:hAnsi="Times New Roman" w:eastAsia="仿宋" w:cs="Times New Roman"/>
          <w:i w:val="0"/>
          <w:iCs w:val="0"/>
          <w:caps w:val="0"/>
          <w:color w:val="auto"/>
          <w:spacing w:val="0"/>
          <w:sz w:val="28"/>
          <w:szCs w:val="28"/>
          <w:highlight w:val="none"/>
          <w:u w:val="none"/>
          <w:shd w:val="clear" w:color="auto" w:fill="FFFFFF"/>
          <w:lang w:eastAsia="zh-CN"/>
        </w:rPr>
        <w:t>）、《</w:t>
      </w:r>
      <w:r>
        <w:rPr>
          <w:rFonts w:hint="default" w:ascii="Times New Roman" w:hAnsi="Times New Roman" w:eastAsia="仿宋" w:cs="Times New Roman"/>
          <w:i w:val="0"/>
          <w:iCs w:val="0"/>
          <w:caps w:val="0"/>
          <w:color w:val="auto"/>
          <w:spacing w:val="0"/>
          <w:sz w:val="28"/>
          <w:szCs w:val="28"/>
          <w:highlight w:val="none"/>
          <w:u w:val="none"/>
          <w:shd w:val="clear" w:color="auto" w:fill="FFFFFF"/>
          <w:lang w:val="en-US" w:eastAsia="zh-CN"/>
        </w:rPr>
        <w:t>节约用水条例</w:t>
      </w:r>
      <w:r>
        <w:rPr>
          <w:rFonts w:hint="default" w:ascii="Times New Roman" w:hAnsi="Times New Roman" w:eastAsia="仿宋" w:cs="Times New Roman"/>
          <w:i w:val="0"/>
          <w:iCs w:val="0"/>
          <w:caps w:val="0"/>
          <w:color w:val="auto"/>
          <w:spacing w:val="0"/>
          <w:sz w:val="28"/>
          <w:szCs w:val="28"/>
          <w:highlight w:val="none"/>
          <w:u w:val="none"/>
          <w:shd w:val="clear" w:color="auto" w:fill="FFFFFF"/>
          <w:lang w:eastAsia="zh-CN"/>
        </w:rPr>
        <w:t>》（中华人民共和国</w:t>
      </w:r>
      <w:r>
        <w:rPr>
          <w:rFonts w:hint="default" w:ascii="Times New Roman" w:hAnsi="Times New Roman" w:eastAsia="仿宋" w:cs="Times New Roman"/>
          <w:i w:val="0"/>
          <w:iCs w:val="0"/>
          <w:caps w:val="0"/>
          <w:color w:val="auto"/>
          <w:spacing w:val="0"/>
          <w:sz w:val="28"/>
          <w:szCs w:val="28"/>
          <w:highlight w:val="none"/>
          <w:u w:val="none"/>
          <w:shd w:val="clear" w:color="auto" w:fill="FFFFFF"/>
          <w:lang w:val="en-US" w:eastAsia="zh-CN"/>
        </w:rPr>
        <w:t>国务院令第776号</w:t>
      </w:r>
      <w:r>
        <w:rPr>
          <w:rFonts w:hint="default" w:ascii="Times New Roman" w:hAnsi="Times New Roman" w:eastAsia="仿宋" w:cs="Times New Roman"/>
          <w:i w:val="0"/>
          <w:iCs w:val="0"/>
          <w:caps w:val="0"/>
          <w:color w:val="auto"/>
          <w:spacing w:val="0"/>
          <w:sz w:val="28"/>
          <w:szCs w:val="28"/>
          <w:highlight w:val="none"/>
          <w:u w:val="none"/>
          <w:shd w:val="clear" w:color="auto" w:fill="FFFFFF"/>
          <w:lang w:eastAsia="zh-CN"/>
        </w:rPr>
        <w:t>）、《</w:t>
      </w:r>
      <w:r>
        <w:rPr>
          <w:rFonts w:hint="default" w:ascii="Times New Roman" w:hAnsi="Times New Roman" w:eastAsia="仿宋" w:cs="Times New Roman"/>
          <w:i w:val="0"/>
          <w:iCs w:val="0"/>
          <w:caps w:val="0"/>
          <w:color w:val="auto"/>
          <w:spacing w:val="0"/>
          <w:sz w:val="28"/>
          <w:szCs w:val="28"/>
          <w:highlight w:val="none"/>
          <w:u w:val="none"/>
          <w:shd w:val="clear" w:color="auto" w:fill="FFFFFF"/>
          <w:lang w:val="en-US" w:eastAsia="zh-CN"/>
        </w:rPr>
        <w:t>中共中央办公厅 国务院办公厅关于实行水资源刚性约束制度的意见</w:t>
      </w:r>
      <w:r>
        <w:rPr>
          <w:rFonts w:hint="default" w:ascii="Times New Roman" w:hAnsi="Times New Roman" w:eastAsia="仿宋" w:cs="Times New Roman"/>
          <w:i w:val="0"/>
          <w:iCs w:val="0"/>
          <w:caps w:val="0"/>
          <w:color w:val="auto"/>
          <w:spacing w:val="0"/>
          <w:sz w:val="28"/>
          <w:szCs w:val="28"/>
          <w:highlight w:val="none"/>
          <w:u w:val="none"/>
          <w:shd w:val="clear" w:color="auto" w:fill="FFFFFF"/>
          <w:lang w:eastAsia="zh-CN"/>
        </w:rPr>
        <w:t>》（</w:t>
      </w:r>
      <w:r>
        <w:rPr>
          <w:rFonts w:hint="default" w:ascii="Times New Roman" w:hAnsi="Times New Roman" w:eastAsia="仿宋" w:cs="Times New Roman"/>
          <w:i w:val="0"/>
          <w:iCs w:val="0"/>
          <w:caps w:val="0"/>
          <w:color w:val="auto"/>
          <w:spacing w:val="0"/>
          <w:sz w:val="28"/>
          <w:szCs w:val="28"/>
          <w:highlight w:val="none"/>
          <w:u w:val="none"/>
          <w:shd w:val="clear" w:color="auto" w:fill="FFFFFF"/>
          <w:lang w:val="en-US" w:eastAsia="zh-CN"/>
        </w:rPr>
        <w:t>中办发</w:t>
      </w:r>
      <w:r>
        <w:rPr>
          <w:rFonts w:hint="default" w:ascii="Times New Roman" w:hAnsi="Times New Roman" w:eastAsia="仿宋" w:cs="Times New Roman"/>
          <w:sz w:val="28"/>
          <w:szCs w:val="28"/>
          <w:highlight w:val="none"/>
          <w:lang w:val="en-US" w:eastAsia="zh-CN"/>
        </w:rPr>
        <w:t>〔2024〕</w:t>
      </w:r>
      <w:r>
        <w:rPr>
          <w:rFonts w:hint="default" w:ascii="Times New Roman" w:hAnsi="Times New Roman" w:eastAsia="仿宋" w:cs="Times New Roman"/>
          <w:i w:val="0"/>
          <w:iCs w:val="0"/>
          <w:caps w:val="0"/>
          <w:color w:val="auto"/>
          <w:spacing w:val="0"/>
          <w:sz w:val="28"/>
          <w:szCs w:val="28"/>
          <w:highlight w:val="none"/>
          <w:u w:val="none"/>
          <w:shd w:val="clear" w:color="auto" w:fill="FFFFFF"/>
          <w:lang w:val="en-US" w:eastAsia="zh-CN"/>
        </w:rPr>
        <w:t>27号</w:t>
      </w:r>
      <w:r>
        <w:rPr>
          <w:rFonts w:hint="default" w:ascii="Times New Roman" w:hAnsi="Times New Roman" w:eastAsia="仿宋" w:cs="Times New Roman"/>
          <w:i w:val="0"/>
          <w:iCs w:val="0"/>
          <w:caps w:val="0"/>
          <w:color w:val="auto"/>
          <w:spacing w:val="0"/>
          <w:sz w:val="28"/>
          <w:szCs w:val="28"/>
          <w:highlight w:val="none"/>
          <w:u w:val="none"/>
          <w:shd w:val="clear" w:color="auto" w:fill="FFFFFF"/>
          <w:lang w:eastAsia="zh-CN"/>
        </w:rPr>
        <w:t>）、</w:t>
      </w:r>
      <w:r>
        <w:rPr>
          <w:rStyle w:val="22"/>
          <w:rFonts w:hint="default" w:ascii="Times New Roman" w:hAnsi="Times New Roman" w:eastAsia="仿宋" w:cs="Times New Roman"/>
          <w:b w:val="0"/>
          <w:bCs/>
          <w:color w:val="auto"/>
          <w:spacing w:val="0"/>
          <w:kern w:val="2"/>
          <w:sz w:val="28"/>
          <w:szCs w:val="28"/>
          <w:highlight w:val="none"/>
          <w:u w:val="none"/>
          <w:shd w:val="clear" w:color="auto" w:fill="FFFFFF"/>
          <w:lang w:val="en-US" w:eastAsia="zh-CN" w:bidi="ar-SA"/>
        </w:rPr>
        <w:t>《</w:t>
      </w: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内蒙古自治区水利厅关于加强农业灌溉机电井管理的通知》（内水农</w:t>
      </w:r>
      <w:r>
        <w:rPr>
          <w:rFonts w:hint="default" w:ascii="Times New Roman" w:hAnsi="Times New Roman" w:eastAsia="仿宋" w:cs="Times New Roman"/>
          <w:sz w:val="28"/>
          <w:szCs w:val="28"/>
          <w:highlight w:val="none"/>
          <w:lang w:val="en-US" w:eastAsia="zh-CN"/>
        </w:rPr>
        <w:t>〔2023〕</w:t>
      </w: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6号）、《巴彦淖尔市水利局 发改委 财政局 农牧局关于印发〈巴彦淖尔市2023年度农业水价综合改革工作方案〉的通知》（巴水发</w:t>
      </w:r>
      <w:r>
        <w:rPr>
          <w:rFonts w:hint="default" w:ascii="Times New Roman" w:hAnsi="Times New Roman" w:eastAsia="仿宋" w:cs="Times New Roman"/>
          <w:sz w:val="28"/>
          <w:szCs w:val="28"/>
          <w:highlight w:val="none"/>
          <w:lang w:val="en-US" w:eastAsia="zh-CN"/>
        </w:rPr>
        <w:t>〔2023〕</w:t>
      </w: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201号）、《乌拉特中旗水利局 发改委关于〈乌拉特中旗农业水价综合改革水价测算方案〉的报告》</w:t>
      </w:r>
      <w:r>
        <w:rPr>
          <w:rStyle w:val="22"/>
          <w:rFonts w:hint="default" w:ascii="Times New Roman" w:hAnsi="Times New Roman" w:eastAsia="仿宋" w:cs="Times New Roman"/>
          <w:b w:val="0"/>
          <w:bCs/>
          <w:color w:val="auto"/>
          <w:spacing w:val="0"/>
          <w:kern w:val="2"/>
          <w:sz w:val="28"/>
          <w:szCs w:val="28"/>
          <w:highlight w:val="none"/>
          <w:shd w:val="clear" w:color="auto" w:fill="FFFFFF"/>
          <w:lang w:val="en-US" w:eastAsia="zh-CN" w:bidi="ar-SA"/>
        </w:rPr>
        <w:t>（乌中水发</w:t>
      </w:r>
      <w:r>
        <w:rPr>
          <w:rFonts w:hint="default" w:ascii="Times New Roman" w:hAnsi="Times New Roman" w:eastAsia="仿宋" w:cs="Times New Roman"/>
          <w:sz w:val="28"/>
          <w:szCs w:val="28"/>
          <w:highlight w:val="none"/>
          <w:lang w:val="en-US" w:eastAsia="zh-CN"/>
        </w:rPr>
        <w:t>〔2024〕</w:t>
      </w:r>
      <w:r>
        <w:rPr>
          <w:rStyle w:val="22"/>
          <w:rFonts w:hint="default" w:ascii="Times New Roman" w:hAnsi="Times New Roman" w:eastAsia="仿宋" w:cs="Times New Roman"/>
          <w:b w:val="0"/>
          <w:bCs/>
          <w:color w:val="auto"/>
          <w:spacing w:val="0"/>
          <w:kern w:val="2"/>
          <w:sz w:val="28"/>
          <w:szCs w:val="28"/>
          <w:highlight w:val="none"/>
          <w:shd w:val="clear" w:color="auto" w:fill="FFFFFF"/>
          <w:lang w:val="en-US" w:eastAsia="zh-CN" w:bidi="ar-SA"/>
        </w:rPr>
        <w:t>46号）</w:t>
      </w: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等法规文件编制本指导意见。</w:t>
      </w:r>
    </w:p>
    <w:p w14:paraId="25D3AB33">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spacing w:val="0"/>
          <w:kern w:val="2"/>
          <w:sz w:val="28"/>
          <w:szCs w:val="28"/>
          <w:highlight w:val="none"/>
          <w:lang w:val="en-US" w:eastAsia="zh-CN" w:bidi="ar-SA"/>
        </w:rPr>
      </w:pPr>
      <w:r>
        <w:rPr>
          <w:rFonts w:hint="default" w:ascii="Times New Roman" w:hAnsi="Times New Roman" w:eastAsia="黑体" w:cs="Times New Roman"/>
          <w:spacing w:val="0"/>
          <w:kern w:val="2"/>
          <w:sz w:val="28"/>
          <w:szCs w:val="28"/>
          <w:highlight w:val="none"/>
          <w:lang w:val="en-US" w:eastAsia="zh-CN" w:bidi="ar-SA"/>
        </w:rPr>
        <w:t>四、分配计划</w:t>
      </w:r>
    </w:p>
    <w:p w14:paraId="543592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pPr>
      <w:r>
        <w:rPr>
          <w:rFonts w:hint="default" w:ascii="Times New Roman" w:hAnsi="Times New Roman" w:eastAsia="仿宋" w:cs="Times New Roman"/>
          <w:spacing w:val="0"/>
          <w:sz w:val="28"/>
          <w:szCs w:val="28"/>
          <w:highlight w:val="none"/>
          <w:lang w:val="en-US" w:eastAsia="zh-CN"/>
        </w:rPr>
        <w:t>2024年水量分配</w:t>
      </w: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按照农业灌溉地下水许可水量作为初始水权，依据农业灌溉“大起底”面积分配到各相关苏木镇、中心公司，各相关苏木镇、中心公司分配到具体嘎查村及牧业分场，嘎查村及牧场分场再分配到井到户。水量分配实行计划管理：以亩均126立方米作为定额水量，超出定额水量部分执行阶梯水价，超用水量不得超过定额水量的2倍。以机电井为单元，根据灌溉面积乘以亩均计划用水分配水量。用水户在所分水量指标内，依据各自土地情况、灌溉方式和种植结构自行安排用水。</w:t>
      </w:r>
    </w:p>
    <w:p w14:paraId="09A137C3">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spacing w:val="0"/>
          <w:kern w:val="2"/>
          <w:sz w:val="28"/>
          <w:szCs w:val="28"/>
          <w:highlight w:val="none"/>
          <w:lang w:val="en-US" w:eastAsia="zh-CN" w:bidi="ar-SA"/>
        </w:rPr>
      </w:pPr>
      <w:r>
        <w:rPr>
          <w:rFonts w:hint="default" w:ascii="Times New Roman" w:hAnsi="Times New Roman" w:eastAsia="黑体" w:cs="Times New Roman"/>
          <w:spacing w:val="0"/>
          <w:kern w:val="2"/>
          <w:sz w:val="28"/>
          <w:szCs w:val="28"/>
          <w:highlight w:val="none"/>
          <w:lang w:val="en-US" w:eastAsia="zh-CN" w:bidi="ar-SA"/>
        </w:rPr>
        <w:t>五、水费征收</w:t>
      </w:r>
    </w:p>
    <w:p w14:paraId="44B581EF">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bCs w:val="0"/>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根据《乌拉特中旗农业水价综合改革水价测算方案》，按照井灌区运行成本水价为0.36元/立方米</w:t>
      </w:r>
      <w:r>
        <w:rPr>
          <w:rStyle w:val="22"/>
          <w:rFonts w:hint="default" w:ascii="Times New Roman" w:hAnsi="Times New Roman" w:eastAsia="仿宋" w:cs="Times New Roman"/>
          <w:b/>
          <w:bCs w:val="0"/>
          <w:spacing w:val="0"/>
          <w:kern w:val="2"/>
          <w:sz w:val="28"/>
          <w:szCs w:val="28"/>
          <w:highlight w:val="none"/>
          <w:shd w:val="clear" w:color="auto" w:fill="FFFFFF"/>
          <w:lang w:val="en-US" w:eastAsia="zh-CN" w:bidi="ar-SA"/>
        </w:rPr>
        <w:t>（不含电费）</w:t>
      </w: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，全成本水价为0.54元/立方米</w:t>
      </w:r>
      <w:r>
        <w:rPr>
          <w:rStyle w:val="22"/>
          <w:rFonts w:hint="default" w:ascii="Times New Roman" w:hAnsi="Times New Roman" w:eastAsia="仿宋" w:cs="Times New Roman"/>
          <w:b/>
          <w:bCs w:val="0"/>
          <w:spacing w:val="0"/>
          <w:kern w:val="2"/>
          <w:sz w:val="28"/>
          <w:szCs w:val="28"/>
          <w:highlight w:val="none"/>
          <w:shd w:val="clear" w:color="auto" w:fill="FFFFFF"/>
          <w:lang w:val="en-US" w:eastAsia="zh-CN" w:bidi="ar-SA"/>
        </w:rPr>
        <w:t>（不含电费）</w:t>
      </w: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结合农民承受能力范围，基础水价不低于运行成本水价。各苏木镇、中心公司根据实际情况进行协商定价，并根据实际用水量实行超定额累进加价制度，原则上同一区域内实行统一收费标准，具体收费标准如下：</w:t>
      </w:r>
    </w:p>
    <w:bookmarkEnd w:id="0"/>
    <w:p w14:paraId="04245987">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bCs/>
          <w:spacing w:val="0"/>
          <w:kern w:val="2"/>
          <w:sz w:val="28"/>
          <w:szCs w:val="28"/>
          <w:highlight w:val="none"/>
          <w:shd w:val="clear" w:color="auto" w:fill="FFFFFF"/>
          <w:lang w:val="en-US" w:eastAsia="zh-CN" w:bidi="ar-SA"/>
        </w:rPr>
        <w:t>每亩用水量在定额水量以内的不收取水费，超出部分执行超定额累进加价制度，水费征收共分两个阶梯：第一阶梯，每亩用水量超出定额水量1倍以内的，超出部分按照基础水价收取水费；第二阶梯，每亩用水量超出定额水量1倍以上2倍以内的，超出部分按不低于基础水价2倍收取水费。</w:t>
      </w:r>
    </w:p>
    <w:p w14:paraId="2C4EB71F">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spacing w:val="0"/>
          <w:kern w:val="2"/>
          <w:sz w:val="28"/>
          <w:szCs w:val="28"/>
          <w:highlight w:val="none"/>
          <w:lang w:val="en-US" w:eastAsia="zh-CN" w:bidi="ar-SA"/>
        </w:rPr>
      </w:pPr>
      <w:r>
        <w:rPr>
          <w:rFonts w:hint="default" w:ascii="Times New Roman" w:hAnsi="Times New Roman" w:eastAsia="黑体" w:cs="Times New Roman"/>
          <w:spacing w:val="0"/>
          <w:kern w:val="2"/>
          <w:sz w:val="28"/>
          <w:szCs w:val="28"/>
          <w:highlight w:val="none"/>
          <w:lang w:val="en-US" w:eastAsia="zh-CN" w:bidi="ar-SA"/>
        </w:rPr>
        <w:t>六、水费使用</w:t>
      </w:r>
    </w:p>
    <w:p w14:paraId="0E1BB033">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pP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水费收入要本着取之于水、用之于水、服务于民的原则，主要用于农业水价综合改革精准补贴和节水</w:t>
      </w:r>
      <w:r>
        <w:rPr>
          <w:rStyle w:val="22"/>
          <w:rFonts w:hint="eastAsia" w:ascii="Times New Roman" w:hAnsi="Times New Roman" w:eastAsia="仿宋" w:cs="Times New Roman"/>
          <w:b w:val="0"/>
          <w:spacing w:val="0"/>
          <w:kern w:val="2"/>
          <w:sz w:val="28"/>
          <w:szCs w:val="28"/>
          <w:highlight w:val="none"/>
          <w:shd w:val="clear" w:color="auto" w:fill="FFFFFF"/>
          <w:lang w:val="en-US" w:eastAsia="zh-CN" w:bidi="ar-SA"/>
        </w:rPr>
        <w:t>奖</w:t>
      </w:r>
      <w:r>
        <w:rPr>
          <w:rStyle w:val="22"/>
          <w:rFonts w:hint="default" w:ascii="Times New Roman" w:hAnsi="Times New Roman" w:eastAsia="仿宋" w:cs="Times New Roman"/>
          <w:b w:val="0"/>
          <w:spacing w:val="0"/>
          <w:kern w:val="2"/>
          <w:sz w:val="28"/>
          <w:szCs w:val="28"/>
          <w:highlight w:val="none"/>
          <w:shd w:val="clear" w:color="auto" w:fill="FFFFFF"/>
          <w:lang w:val="en-US" w:eastAsia="zh-CN" w:bidi="ar-SA"/>
        </w:rPr>
        <w:t>励、用于农业灌溉设施的维护、计量设施的安装与升级完善和节水工程、节水技术的改造、节水宣传等。对实现节水控水目标的苏木镇、中心公司给予奖励，也可对在开展深度节水控水工作中成效显著的村组集体、企业合作组织及四级井长给予奖励，要切实加强水费征收、使用的管理。</w:t>
      </w:r>
    </w:p>
    <w:p w14:paraId="2794729E">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spacing w:val="0"/>
          <w:kern w:val="2"/>
          <w:sz w:val="28"/>
          <w:szCs w:val="28"/>
          <w:highlight w:val="none"/>
          <w:lang w:val="en-US" w:eastAsia="zh-CN" w:bidi="ar-SA"/>
        </w:rPr>
      </w:pPr>
      <w:r>
        <w:rPr>
          <w:rFonts w:hint="default" w:ascii="Times New Roman" w:hAnsi="Times New Roman" w:eastAsia="黑体" w:cs="Times New Roman"/>
          <w:spacing w:val="0"/>
          <w:kern w:val="2"/>
          <w:sz w:val="28"/>
          <w:szCs w:val="28"/>
          <w:highlight w:val="none"/>
          <w:lang w:val="en-US" w:eastAsia="zh-CN" w:bidi="ar-SA"/>
        </w:rPr>
        <w:t>七、工作要求</w:t>
      </w:r>
    </w:p>
    <w:p w14:paraId="6D88C080">
      <w:pPr>
        <w:pStyle w:val="15"/>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 w:cs="Times New Roman"/>
          <w:spacing w:val="0"/>
          <w:kern w:val="2"/>
          <w:sz w:val="28"/>
          <w:szCs w:val="28"/>
          <w:highlight w:val="none"/>
          <w:lang w:val="en-US" w:eastAsia="zh-CN" w:bidi="ar-SA"/>
        </w:rPr>
      </w:pPr>
      <w:r>
        <w:rPr>
          <w:rFonts w:hint="default" w:ascii="Times New Roman" w:hAnsi="Times New Roman" w:eastAsia="楷体" w:cs="Times New Roman"/>
          <w:b/>
          <w:bCs/>
          <w:spacing w:val="0"/>
          <w:kern w:val="2"/>
          <w:sz w:val="28"/>
          <w:szCs w:val="28"/>
          <w:highlight w:val="none"/>
          <w:lang w:val="en-US" w:eastAsia="zh-CN" w:bidi="ar-SA"/>
        </w:rPr>
        <w:t>（一）提高思想认识。</w:t>
      </w:r>
      <w:r>
        <w:rPr>
          <w:rFonts w:hint="default" w:ascii="Times New Roman" w:hAnsi="Times New Roman" w:eastAsia="仿宋" w:cs="Times New Roman"/>
          <w:spacing w:val="0"/>
          <w:kern w:val="2"/>
          <w:sz w:val="28"/>
          <w:szCs w:val="28"/>
          <w:highlight w:val="none"/>
          <w:lang w:val="en-US" w:eastAsia="zh-CN" w:bidi="ar-SA"/>
        </w:rPr>
        <w:t>各苏木镇、中心公司和相关部门要牢固树立水价改革“一盘棋”思想，加强协同配合，切实形成工作合力，抓好工作落实，确保</w:t>
      </w:r>
      <w:r>
        <w:rPr>
          <w:rFonts w:hint="default" w:ascii="Times New Roman" w:hAnsi="Times New Roman" w:eastAsia="仿宋" w:cs="Times New Roman"/>
          <w:spacing w:val="0"/>
          <w:sz w:val="28"/>
          <w:szCs w:val="28"/>
          <w:highlight w:val="none"/>
          <w:lang w:val="en-US" w:eastAsia="zh-CN"/>
        </w:rPr>
        <w:t>井灌区农业用水超定额累进加价制度有效落实</w:t>
      </w:r>
      <w:r>
        <w:rPr>
          <w:rFonts w:hint="default" w:ascii="Times New Roman" w:hAnsi="Times New Roman" w:eastAsia="仿宋" w:cs="Times New Roman"/>
          <w:spacing w:val="0"/>
          <w:kern w:val="2"/>
          <w:sz w:val="28"/>
          <w:szCs w:val="28"/>
          <w:highlight w:val="none"/>
          <w:lang w:val="en-US" w:eastAsia="zh-CN" w:bidi="ar-SA"/>
        </w:rPr>
        <w:t>。</w:t>
      </w:r>
    </w:p>
    <w:p w14:paraId="66AE3B05">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 w:cs="Times New Roman"/>
          <w:spacing w:val="0"/>
          <w:kern w:val="2"/>
          <w:sz w:val="28"/>
          <w:szCs w:val="28"/>
          <w:highlight w:val="none"/>
          <w:lang w:val="en-US" w:eastAsia="zh-CN" w:bidi="ar-SA"/>
        </w:rPr>
      </w:pPr>
      <w:r>
        <w:rPr>
          <w:rFonts w:hint="default" w:ascii="Times New Roman" w:hAnsi="Times New Roman" w:eastAsia="楷体" w:cs="Times New Roman"/>
          <w:b/>
          <w:bCs/>
          <w:spacing w:val="0"/>
          <w:kern w:val="2"/>
          <w:sz w:val="28"/>
          <w:szCs w:val="28"/>
          <w:highlight w:val="none"/>
          <w:lang w:val="en-US" w:eastAsia="zh-CN" w:bidi="ar-SA"/>
        </w:rPr>
        <w:t>（二）规范协商程序。</w:t>
      </w:r>
      <w:r>
        <w:rPr>
          <w:rFonts w:hint="default" w:ascii="Times New Roman" w:hAnsi="Times New Roman" w:eastAsia="仿宋" w:cs="Times New Roman"/>
          <w:spacing w:val="0"/>
          <w:kern w:val="2"/>
          <w:sz w:val="28"/>
          <w:szCs w:val="28"/>
          <w:highlight w:val="none"/>
          <w:lang w:val="en-US" w:eastAsia="zh-CN" w:bidi="ar-SA"/>
        </w:rPr>
        <w:t>各相关苏木镇、中心公司要依据本指导意见相关要求，以村组为单位，严格按程序进行协商定价，最终收费标准以协商水价为准，坚决杜绝乱加价、乱收费等行为。</w:t>
      </w:r>
    </w:p>
    <w:p w14:paraId="700F701E">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 w:cs="Times New Roman"/>
          <w:spacing w:val="0"/>
          <w:kern w:val="2"/>
          <w:sz w:val="28"/>
          <w:szCs w:val="28"/>
          <w:highlight w:val="none"/>
          <w:lang w:val="en-US" w:eastAsia="zh-CN" w:bidi="ar-SA"/>
        </w:rPr>
      </w:pPr>
      <w:r>
        <w:rPr>
          <w:rFonts w:hint="default" w:ascii="Times New Roman" w:hAnsi="Times New Roman" w:eastAsia="楷体" w:cs="Times New Roman"/>
          <w:b/>
          <w:bCs/>
          <w:spacing w:val="0"/>
          <w:kern w:val="2"/>
          <w:sz w:val="28"/>
          <w:szCs w:val="28"/>
          <w:highlight w:val="none"/>
          <w:lang w:val="en-US" w:eastAsia="zh-CN" w:bidi="ar-SA"/>
        </w:rPr>
        <w:t>（三）强化执法力度。</w:t>
      </w:r>
      <w:r>
        <w:rPr>
          <w:rFonts w:hint="default" w:ascii="Times New Roman" w:hAnsi="Times New Roman" w:eastAsia="仿宋" w:cs="Times New Roman"/>
          <w:spacing w:val="0"/>
          <w:kern w:val="2"/>
          <w:sz w:val="28"/>
          <w:szCs w:val="28"/>
          <w:highlight w:val="none"/>
          <w:lang w:val="en-US" w:eastAsia="zh-CN" w:bidi="ar-SA"/>
        </w:rPr>
        <w:t>各有关执法部门要依法开展水行政执法，进一步加大对违规开垦耕地、取用地下水、私自破坏智能计量设施设备等行为的打击力度，常态化开展巡查检查，及时查处相关违法行为，确保农业灌溉智能计量设备的持续稳定运行。</w:t>
      </w:r>
    </w:p>
    <w:p w14:paraId="6712C834">
      <w:pPr>
        <w:pStyle w:val="19"/>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562" w:firstLineChars="200"/>
        <w:jc w:val="both"/>
        <w:textAlignment w:val="auto"/>
        <w:rPr>
          <w:rFonts w:hint="default" w:ascii="Times New Roman" w:hAnsi="Times New Roman" w:eastAsia="仿宋" w:cs="Times New Roman"/>
          <w:spacing w:val="0"/>
          <w:kern w:val="2"/>
          <w:sz w:val="28"/>
          <w:szCs w:val="28"/>
          <w:highlight w:val="none"/>
          <w:lang w:val="en-US" w:eastAsia="zh-CN" w:bidi="ar-SA"/>
        </w:rPr>
      </w:pPr>
      <w:r>
        <w:rPr>
          <w:rFonts w:hint="default" w:ascii="Times New Roman" w:hAnsi="Times New Roman" w:eastAsia="楷体" w:cs="Times New Roman"/>
          <w:b/>
          <w:bCs/>
          <w:spacing w:val="0"/>
          <w:kern w:val="2"/>
          <w:sz w:val="28"/>
          <w:szCs w:val="28"/>
          <w:highlight w:val="none"/>
          <w:lang w:val="en-US" w:eastAsia="zh-CN" w:bidi="ar-SA"/>
        </w:rPr>
        <w:t>（四）加强宣传引导。</w:t>
      </w:r>
      <w:r>
        <w:rPr>
          <w:rFonts w:hint="default" w:ascii="Times New Roman" w:hAnsi="Times New Roman" w:eastAsia="仿宋" w:cs="Times New Roman"/>
          <w:spacing w:val="0"/>
          <w:kern w:val="2"/>
          <w:sz w:val="28"/>
          <w:szCs w:val="28"/>
          <w:highlight w:val="none"/>
          <w:lang w:val="en-US" w:eastAsia="zh-CN" w:bidi="ar-SA"/>
        </w:rPr>
        <w:t>各相关苏木镇、中心公司要加大对国家政策、法律法规、超采区治理和开展农业灌溉精细化管理的必要性等内容的宣传培训力度，让群众树立节约用水、保护生态意识。同时教育引导农民正确运用滴灌技术，特别是对井长要进行专门培训，根据分配水量进行合理灌溉，以减少水资源的损失浪费。</w:t>
      </w:r>
    </w:p>
    <w:p w14:paraId="72F718EF">
      <w:pPr>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default" w:ascii="Times New Roman" w:hAnsi="Times New Roman" w:eastAsia="仿宋" w:cs="Times New Roman"/>
          <w:sz w:val="18"/>
          <w:szCs w:val="20"/>
          <w:lang w:val="en-US" w:eastAsia="zh-CN"/>
        </w:rPr>
      </w:pPr>
      <w:r>
        <w:rPr>
          <w:rFonts w:hint="default" w:ascii="Times New Roman" w:hAnsi="Times New Roman" w:eastAsia="楷体" w:cs="Times New Roman"/>
          <w:b/>
          <w:bCs/>
          <w:spacing w:val="0"/>
          <w:kern w:val="2"/>
          <w:sz w:val="28"/>
          <w:szCs w:val="28"/>
          <w:highlight w:val="none"/>
          <w:lang w:val="en-US" w:eastAsia="zh-CN" w:bidi="ar-SA"/>
        </w:rPr>
        <w:t>（五）加大监督考核。</w:t>
      </w:r>
      <w:r>
        <w:rPr>
          <w:rFonts w:hint="default" w:ascii="Times New Roman" w:hAnsi="Times New Roman" w:eastAsia="仿宋" w:cs="Times New Roman"/>
          <w:spacing w:val="0"/>
          <w:kern w:val="2"/>
          <w:sz w:val="28"/>
          <w:szCs w:val="28"/>
          <w:highlight w:val="none"/>
          <w:shd w:val="clear" w:color="auto" w:fill="auto"/>
          <w:lang w:val="en-US" w:eastAsia="zh-CN" w:bidi="ar-SA"/>
        </w:rPr>
        <w:t>各相关苏木镇要依据指导意见及本辖区实际情况，制定切实可行的具体实施方案，狠抓工作落实。要</w:t>
      </w:r>
      <w:r>
        <w:rPr>
          <w:rFonts w:hint="default" w:ascii="Times New Roman" w:hAnsi="Times New Roman" w:eastAsia="仿宋" w:cs="Times New Roman"/>
          <w:spacing w:val="0"/>
          <w:kern w:val="2"/>
          <w:sz w:val="28"/>
          <w:szCs w:val="28"/>
          <w:highlight w:val="none"/>
          <w:lang w:val="en-US" w:eastAsia="zh-CN" w:bidi="ar-SA"/>
        </w:rPr>
        <w:t>将农业地下水灌溉超定额累进加价制度落实情况列入实绩考核范围，旗纪委、旗委督查室对农业地下水灌溉超定额累进加价制度推进情况列入督查工作重点，定期开展督促检查，切实将井灌区农业用水控制在限额以内。</w:t>
      </w:r>
    </w:p>
    <w:p w14:paraId="068C5530">
      <w:pPr>
        <w:pStyle w:val="19"/>
        <w:keepNext w:val="0"/>
        <w:keepLines w:val="0"/>
        <w:pageBreakBefore w:val="0"/>
        <w:widowControl w:val="0"/>
        <w:kinsoku/>
        <w:wordWrap/>
        <w:overflowPunct/>
        <w:topLinePunct w:val="0"/>
        <w:autoSpaceDE/>
        <w:autoSpaceDN/>
        <w:bidi w:val="0"/>
        <w:adjustRightInd/>
        <w:snapToGrid/>
        <w:spacing w:after="0" w:line="560" w:lineRule="exact"/>
        <w:ind w:left="0" w:leftChars="0" w:firstLine="480" w:firstLineChars="200"/>
        <w:jc w:val="both"/>
        <w:textAlignment w:val="auto"/>
        <w:rPr>
          <w:rFonts w:hint="default" w:ascii="Times New Roman" w:hAnsi="Times New Roman" w:cs="Times New Roman"/>
          <w:sz w:val="24"/>
          <w:szCs w:val="20"/>
          <w:lang w:val="en-US" w:eastAsia="zh-CN"/>
        </w:rPr>
      </w:pPr>
    </w:p>
    <w:p w14:paraId="198B1987">
      <w:pPr>
        <w:keepNext w:val="0"/>
        <w:keepLines w:val="0"/>
        <w:pageBreakBefore w:val="0"/>
        <w:widowControl w:val="0"/>
        <w:tabs>
          <w:tab w:val="left" w:pos="2940"/>
        </w:tabs>
        <w:kinsoku/>
        <w:wordWrap/>
        <w:overflowPunct/>
        <w:topLinePunct w:val="0"/>
        <w:autoSpaceDE/>
        <w:autoSpaceDN/>
        <w:bidi w:val="0"/>
        <w:adjustRightInd/>
        <w:snapToGrid/>
        <w:spacing w:line="560" w:lineRule="exact"/>
        <w:ind w:left="0" w:leftChars="0" w:firstLine="420" w:firstLineChars="200"/>
        <w:jc w:val="both"/>
        <w:textAlignment w:val="auto"/>
        <w:rPr>
          <w:rFonts w:hint="default" w:ascii="Times New Roman" w:hAnsi="Times New Roman" w:eastAsia="仿宋" w:cs="Times New Roman"/>
          <w:kern w:val="1"/>
          <w:sz w:val="21"/>
          <w:szCs w:val="21"/>
        </w:rPr>
      </w:pPr>
    </w:p>
    <w:bookmarkEnd w:id="1"/>
    <w:sectPr>
      <w:headerReference r:id="rId3" w:type="default"/>
      <w:footerReference r:id="rId5" w:type="default"/>
      <w:headerReference r:id="rId4" w:type="even"/>
      <w:footerReference r:id="rId6" w:type="even"/>
      <w:pgSz w:w="11906" w:h="16838"/>
      <w:pgMar w:top="1440" w:right="1133" w:bottom="1440" w:left="1440" w:header="851" w:footer="992" w:gutter="0"/>
      <w:pgNumType w:fmt="numberInDash" w:start="51"/>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方正小标宋简体">
    <w:panose1 w:val="00000600000000000000"/>
    <w:charset w:val="86"/>
    <w:family w:val="auto"/>
    <w:pitch w:val="default"/>
    <w:sig w:usb0="800002BF" w:usb1="184F6CF8" w:usb2="00000012" w:usb3="00000000" w:csb0="00160001" w:csb1="12030000"/>
  </w:font>
  <w:font w:name="方正小标宋_GBK">
    <w:altName w:val="微软雅黑"/>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33944">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9D2F75D">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14:paraId="49D2F75D">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31B94">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0F9F6C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14:paraId="30F9F6CB">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88CE3">
    <w:pPr>
      <w:pStyle w:val="4"/>
      <w:pBdr>
        <w:bottom w:val="single" w:color="auto" w:sz="6" w:space="0"/>
      </w:pBdr>
      <w:jc w:val="both"/>
    </w:pPr>
    <w:r>
      <w:rPr>
        <w:sz w:val="1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-160020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AC68EB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55pt;margin-top:-12.6pt;height:23.25pt;width:120.75pt;z-index:251659264;mso-width-relative:page;mso-height-relative:page;" fillcolor="#FFFFFF" filled="t" stroked="f" coordsize="21600,21600" arcsize="0.166666666666667" o:gfxdata="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Cc5NrdUAAAAJAQAADwAA&#10;AAAAAAABACAAAAAiAAAAZHJzL2Rvd25yZXYueG1sUEsBAhQAFAAAAAgAh07iQO++vcpSAgAABAUA&#10;AA4AAAAAAAAAAQAgAAAAJAEAAGRycy9lMm9Eb2MueG1sUEsFBgAAAAAGAAYAWQEAAOgFA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5AC68EB0">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1643380</wp:posOffset>
              </wp:positionH>
              <wp:positionV relativeFrom="paragraph">
                <wp:posOffset>-198120</wp:posOffset>
              </wp:positionV>
              <wp:extent cx="2638425" cy="361950"/>
              <wp:effectExtent l="0" t="0" r="13335" b="3810"/>
              <wp:wrapNone/>
              <wp:docPr id="9" name="矩形 90"/>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39964182">
                          <w:pPr>
                            <w:jc w:val="center"/>
                            <w:rPr>
                              <w:szCs w:val="24"/>
                              <w:u w:val="thick"/>
                            </w:rPr>
                          </w:pPr>
                          <w:r>
                            <w:rPr>
                              <w:rFonts w:hint="eastAsia"/>
                              <w:szCs w:val="24"/>
                              <w:u w:val="thick"/>
                            </w:rPr>
                            <w:t>精准传达政策法规 全面推进依法行政</w:t>
                          </w:r>
                        </w:p>
                      </w:txbxContent>
                    </wps:txbx>
                    <wps:bodyPr wrap="square" upright="1"/>
                  </wps:wsp>
                </a:graphicData>
              </a:graphic>
            </wp:anchor>
          </w:drawing>
        </mc:Choice>
        <mc:Fallback>
          <w:pict>
            <v:rect id="矩形 90" o:spid="_x0000_s1026" o:spt="1" style="position:absolute;left:0pt;margin-left:129.4pt;margin-top:-15.6pt;height:28.5pt;width:207.75pt;z-index:251662336;mso-width-relative:page;mso-height-relative:page;" fillcolor="#FFFFFF" filled="t" stroked="f" coordsize="21600,21600" o:gfxdata="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zzj19cAAAAKAQAADwAAAAAAAAABACAAAAAiAAAAZHJzL2Rvd25yZXYu&#10;eG1sUEsBAhQAFAAAAAgAh07iQClEw5TDAQAAeQMAAA4AAAAAAAAAAQAgAAAAJgEAAGRycy9lMm9E&#10;b2MueG1sUEsFBgAAAAAGAAYAWQEAAFsFAAAAAA==&#10;">
              <v:fill on="t" focussize="0,0"/>
              <v:stroke on="f"/>
              <v:imagedata o:title=""/>
              <o:lock v:ext="edit" aspectratio="f"/>
              <v:textbox>
                <w:txbxContent>
                  <w:p w14:paraId="39964182">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2B45B98">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5EA83B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6EDB60B0">
                            <w:pPr>
                              <w:jc w:val="center"/>
                              <w:rPr>
                                <w:rFonts w:ascii="黑体" w:hAnsi="黑体" w:eastAsia="黑体"/>
                                <w:color w:val="000000"/>
                                <w:sz w:val="18"/>
                                <w:szCs w:val="18"/>
                              </w:rPr>
                            </w:pPr>
                          </w:p>
                          <w:p w14:paraId="26F7930E">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F2C5783">
                            <w:pPr>
                              <w:jc w:val="center"/>
                              <w:rPr>
                                <w:rFonts w:ascii="黑体" w:hAnsi="黑体" w:eastAsia="黑体"/>
                                <w:color w:val="000000"/>
                                <w:sz w:val="18"/>
                                <w:szCs w:val="18"/>
                              </w:rPr>
                            </w:pPr>
                          </w:p>
                          <w:p w14:paraId="18F0F8A4">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793176AE">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2B45B98">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5EA83B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6EDB60B0">
                      <w:pPr>
                        <w:jc w:val="center"/>
                        <w:rPr>
                          <w:rFonts w:ascii="黑体" w:hAnsi="黑体" w:eastAsia="黑体"/>
                          <w:color w:val="000000"/>
                          <w:sz w:val="18"/>
                          <w:szCs w:val="18"/>
                        </w:rPr>
                      </w:pPr>
                    </w:p>
                    <w:p w14:paraId="26F7930E">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F2C5783">
                      <w:pPr>
                        <w:jc w:val="center"/>
                        <w:rPr>
                          <w:rFonts w:ascii="黑体" w:hAnsi="黑体" w:eastAsia="黑体"/>
                          <w:color w:val="000000"/>
                          <w:sz w:val="18"/>
                          <w:szCs w:val="18"/>
                        </w:rPr>
                      </w:pPr>
                    </w:p>
                    <w:p w14:paraId="18F0F8A4">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793176AE">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4718286">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4718286">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p>
  <w:p w14:paraId="73FB32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55B83">
    <w:pPr>
      <w:pStyle w:val="4"/>
    </w:pP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441F76F3">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441F76F3">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-178435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58FF980">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4.05pt;height:23.25pt;width:120.75pt;z-index:251666432;mso-width-relative:page;mso-height-relative:page;" fillcolor="#FFFFFF" filled="t" stroked="f" coordsize="21600,21600" arcsize="0.166666666666667" o:gfxdata="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KRRyP1wAAAAoBAAAP&#10;AAAAAAAAAAEAIAAAACIAAABkcnMvZG93bnJldi54bWxQSwECFAAUAAAACACHTuJAHDnznl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58FF980">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-111760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229E0D4">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8.8pt;height:23.25pt;width:120.75pt;z-index:251665408;mso-width-relative:page;mso-height-relative:page;" fillcolor="#FFFFFF" filled="t" stroked="f" coordsize="21600,21600" arcsize="0.166666666666667" o:gfxdata="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ILrH5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229E0D4">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60916EF">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DB79F22">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0BD3C0E7">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60916EF">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DB79F22">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0BD3C0E7">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75C630D"/>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4E21C11"/>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4D1249E9"/>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75C630D"/>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4E21C11"/>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4D1249E9"/>
                  </w:txbxContent>
                </v:textbox>
              </v:rect>
            </v:group>
          </w:pict>
        </mc:Fallback>
      </mc:AlternateContent>
    </w:r>
  </w:p>
  <w:p w14:paraId="72C20F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3285C9B"/>
    <w:rsid w:val="0905302D"/>
    <w:rsid w:val="09B94621"/>
    <w:rsid w:val="09CE2321"/>
    <w:rsid w:val="09CF664A"/>
    <w:rsid w:val="09EE3342"/>
    <w:rsid w:val="0A7E0533"/>
    <w:rsid w:val="0E3A032A"/>
    <w:rsid w:val="104F1498"/>
    <w:rsid w:val="13CA07A6"/>
    <w:rsid w:val="1CCC144B"/>
    <w:rsid w:val="1E1E0B0B"/>
    <w:rsid w:val="23F156D7"/>
    <w:rsid w:val="25CD6CB7"/>
    <w:rsid w:val="28DE61E1"/>
    <w:rsid w:val="292626A9"/>
    <w:rsid w:val="29FF1C2C"/>
    <w:rsid w:val="2EB147B6"/>
    <w:rsid w:val="30E47F2D"/>
    <w:rsid w:val="349A20CB"/>
    <w:rsid w:val="3826164C"/>
    <w:rsid w:val="39C0599D"/>
    <w:rsid w:val="3A0412A2"/>
    <w:rsid w:val="3A292263"/>
    <w:rsid w:val="3C4C328A"/>
    <w:rsid w:val="3E431F22"/>
    <w:rsid w:val="3E6D5958"/>
    <w:rsid w:val="454D1D46"/>
    <w:rsid w:val="46332C0E"/>
    <w:rsid w:val="468537BA"/>
    <w:rsid w:val="48F97AF3"/>
    <w:rsid w:val="4BB86745"/>
    <w:rsid w:val="4BD0737E"/>
    <w:rsid w:val="4C6A56A4"/>
    <w:rsid w:val="4D5213C6"/>
    <w:rsid w:val="531F3FB8"/>
    <w:rsid w:val="53C93E8E"/>
    <w:rsid w:val="548A665D"/>
    <w:rsid w:val="54926809"/>
    <w:rsid w:val="55B92655"/>
    <w:rsid w:val="59102208"/>
    <w:rsid w:val="5AFF61BA"/>
    <w:rsid w:val="5DCA4AFF"/>
    <w:rsid w:val="60825FDD"/>
    <w:rsid w:val="64B231A6"/>
    <w:rsid w:val="6524223A"/>
    <w:rsid w:val="65D639AE"/>
    <w:rsid w:val="66D333F9"/>
    <w:rsid w:val="685B2C84"/>
    <w:rsid w:val="694545B9"/>
    <w:rsid w:val="698F53F7"/>
    <w:rsid w:val="69BE743D"/>
    <w:rsid w:val="69E54816"/>
    <w:rsid w:val="6BD65BFE"/>
    <w:rsid w:val="6C10674B"/>
    <w:rsid w:val="73AC698A"/>
    <w:rsid w:val="740B0C53"/>
    <w:rsid w:val="74DE3FE9"/>
    <w:rsid w:val="77DA7881"/>
    <w:rsid w:val="7C3D6665"/>
    <w:rsid w:val="7C750F6B"/>
    <w:rsid w:val="7D6A29F9"/>
    <w:rsid w:val="7D8F52CA"/>
    <w:rsid w:val="7EEE24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5">
    <w:name w:val="heading 1"/>
    <w:basedOn w:val="6"/>
    <w:next w:val="1"/>
    <w:link w:val="25"/>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21">
    <w:name w:val="Default Paragraph Font"/>
    <w:unhideWhenUsed/>
    <w:qFormat/>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2">
    <w:name w:val="Title"/>
    <w:basedOn w:val="1"/>
    <w:next w:val="3"/>
    <w:qFormat/>
    <w:uiPriority w:val="10"/>
    <w:pPr>
      <w:spacing w:before="240" w:after="60"/>
      <w:ind w:left="640" w:leftChars="200"/>
      <w:outlineLvl w:val="0"/>
    </w:pPr>
    <w:rPr>
      <w:rFonts w:ascii="Arial" w:hAnsi="Arial"/>
      <w:b/>
    </w:rPr>
  </w:style>
  <w:style w:type="paragraph" w:styleId="3">
    <w:name w:val="Body Text Indent"/>
    <w:basedOn w:val="1"/>
    <w:next w:val="4"/>
    <w:qFormat/>
    <w:uiPriority w:val="0"/>
    <w:pPr>
      <w:ind w:left="420"/>
    </w:pPr>
    <w:rPr>
      <w:rFonts w:ascii="仿宋_GB2312" w:eastAsia="仿宋_GB2312"/>
      <w:sz w:val="32"/>
    </w:rPr>
  </w:style>
  <w:style w:type="paragraph" w:styleId="4">
    <w:name w:val="header"/>
    <w:basedOn w:val="1"/>
    <w:next w:val="3"/>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7">
    <w:name w:val="Normal Indent"/>
    <w:basedOn w:val="1"/>
    <w:unhideWhenUsed/>
    <w:qFormat/>
    <w:uiPriority w:val="99"/>
    <w:pPr>
      <w:ind w:firstLine="420"/>
    </w:pPr>
    <w:rPr>
      <w:rFonts w:ascii="Times New Roman" w:hAnsi="Times New Roman"/>
      <w:szCs w:val="20"/>
    </w:rPr>
  </w:style>
  <w:style w:type="paragraph" w:styleId="8">
    <w:name w:val="Body Text"/>
    <w:basedOn w:val="1"/>
    <w:next w:val="9"/>
    <w:qFormat/>
    <w:uiPriority w:val="0"/>
    <w:pPr>
      <w:spacing w:after="120"/>
    </w:pPr>
  </w:style>
  <w:style w:type="paragraph" w:customStyle="1" w:styleId="9">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Plain Text"/>
    <w:basedOn w:val="1"/>
    <w:link w:val="26"/>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7"/>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8"/>
    <w:unhideWhenUsed/>
    <w:qFormat/>
    <w:uiPriority w:val="99"/>
    <w:rPr>
      <w:sz w:val="18"/>
      <w:szCs w:val="18"/>
    </w:rPr>
  </w:style>
  <w:style w:type="paragraph" w:styleId="14">
    <w:name w:val="footer"/>
    <w:basedOn w:val="1"/>
    <w:link w:val="29"/>
    <w:unhideWhenUsed/>
    <w:qFormat/>
    <w:uiPriority w:val="99"/>
    <w:pPr>
      <w:tabs>
        <w:tab w:val="center" w:pos="4153"/>
        <w:tab w:val="right" w:pos="8306"/>
      </w:tabs>
      <w:snapToGrid w:val="0"/>
      <w:jc w:val="left"/>
    </w:pPr>
    <w:rPr>
      <w:sz w:val="18"/>
      <w:szCs w:val="18"/>
    </w:rPr>
  </w:style>
  <w:style w:type="paragraph" w:styleId="15">
    <w:name w:val="toc 1"/>
    <w:basedOn w:val="1"/>
    <w:next w:val="1"/>
    <w:link w:val="30"/>
    <w:qFormat/>
    <w:uiPriority w:val="0"/>
    <w:pPr>
      <w:ind w:firstLine="780"/>
    </w:pPr>
    <w:rPr>
      <w:rFonts w:ascii="黑体" w:eastAsia="黑体"/>
    </w:rPr>
  </w:style>
  <w:style w:type="paragraph" w:styleId="16">
    <w:name w:val="toc 2"/>
    <w:basedOn w:val="1"/>
    <w:next w:val="1"/>
    <w:link w:val="31"/>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9">
    <w:name w:val="Body Text First Indent 2"/>
    <w:basedOn w:val="3"/>
    <w:next w:val="1"/>
    <w:qFormat/>
    <w:uiPriority w:val="0"/>
    <w:pPr>
      <w:spacing w:after="120"/>
      <w:ind w:left="200" w:leftChars="200" w:firstLine="420" w:firstLineChars="200"/>
    </w:pPr>
    <w:rPr>
      <w:rFonts w:ascii="Times New Roman"/>
    </w:rPr>
  </w:style>
  <w:style w:type="character" w:styleId="22">
    <w:name w:val="Strong"/>
    <w:basedOn w:val="21"/>
    <w:qFormat/>
    <w:uiPriority w:val="0"/>
    <w:rPr>
      <w:b/>
      <w:bCs/>
    </w:rPr>
  </w:style>
  <w:style w:type="character" w:styleId="23">
    <w:name w:val="Hyperlink"/>
    <w:basedOn w:val="21"/>
    <w:unhideWhenUsed/>
    <w:qFormat/>
    <w:uiPriority w:val="0"/>
    <w:rPr>
      <w:color w:val="0000FF"/>
      <w:u w:val="single"/>
    </w:rPr>
  </w:style>
  <w:style w:type="character" w:customStyle="1" w:styleId="24">
    <w:name w:val="页眉 Char"/>
    <w:basedOn w:val="21"/>
    <w:link w:val="4"/>
    <w:qFormat/>
    <w:uiPriority w:val="99"/>
    <w:rPr>
      <w:sz w:val="18"/>
      <w:szCs w:val="18"/>
    </w:rPr>
  </w:style>
  <w:style w:type="character" w:customStyle="1" w:styleId="25">
    <w:name w:val="标题 1 Char"/>
    <w:basedOn w:val="21"/>
    <w:link w:val="5"/>
    <w:qFormat/>
    <w:uiPriority w:val="0"/>
    <w:rPr>
      <w:rFonts w:ascii="宋体" w:hAnsi="宋体" w:cs="宋体"/>
      <w:b/>
      <w:bCs/>
      <w:kern w:val="36"/>
      <w:sz w:val="48"/>
      <w:szCs w:val="48"/>
    </w:rPr>
  </w:style>
  <w:style w:type="character" w:customStyle="1" w:styleId="26">
    <w:name w:val="纯文本 Char"/>
    <w:basedOn w:val="21"/>
    <w:link w:val="10"/>
    <w:qFormat/>
    <w:uiPriority w:val="99"/>
    <w:rPr>
      <w:rFonts w:ascii="宋体" w:hAnsi="宋体" w:cs="宋体"/>
      <w:sz w:val="24"/>
      <w:szCs w:val="22"/>
    </w:rPr>
  </w:style>
  <w:style w:type="character" w:customStyle="1" w:styleId="27">
    <w:name w:val="日期 Char"/>
    <w:basedOn w:val="21"/>
    <w:link w:val="11"/>
    <w:semiHidden/>
    <w:qFormat/>
    <w:uiPriority w:val="0"/>
    <w:rPr>
      <w:rFonts w:ascii="Calibri" w:hAnsi="Calibri" w:cs="黑体"/>
      <w:kern w:val="2"/>
      <w:sz w:val="21"/>
      <w:szCs w:val="22"/>
    </w:rPr>
  </w:style>
  <w:style w:type="character" w:customStyle="1" w:styleId="28">
    <w:name w:val="批注框文本 Char"/>
    <w:basedOn w:val="21"/>
    <w:link w:val="13"/>
    <w:semiHidden/>
    <w:qFormat/>
    <w:uiPriority w:val="99"/>
    <w:rPr>
      <w:sz w:val="18"/>
      <w:szCs w:val="18"/>
    </w:rPr>
  </w:style>
  <w:style w:type="character" w:customStyle="1" w:styleId="29">
    <w:name w:val="页脚 Char"/>
    <w:basedOn w:val="21"/>
    <w:link w:val="14"/>
    <w:qFormat/>
    <w:uiPriority w:val="99"/>
    <w:rPr>
      <w:sz w:val="18"/>
      <w:szCs w:val="18"/>
    </w:rPr>
  </w:style>
  <w:style w:type="character" w:customStyle="1" w:styleId="30">
    <w:name w:val="目录 1 Char"/>
    <w:link w:val="15"/>
    <w:uiPriority w:val="0"/>
    <w:rPr>
      <w:rFonts w:ascii="黑体" w:eastAsia="黑体"/>
    </w:rPr>
  </w:style>
  <w:style w:type="character" w:customStyle="1" w:styleId="31">
    <w:name w:val="目录 2 Char"/>
    <w:link w:val="16"/>
    <w:uiPriority w:val="39"/>
    <w:rPr>
      <w:rFonts w:eastAsia="宋体" w:cs="Mongolian Baiti"/>
      <w:sz w:val="21"/>
    </w:rPr>
  </w:style>
  <w:style w:type="paragraph" w:customStyle="1" w:styleId="32">
    <w:name w:val="p0"/>
    <w:basedOn w:val="1"/>
    <w:qFormat/>
    <w:uiPriority w:val="0"/>
    <w:pPr>
      <w:widowControl/>
    </w:pPr>
    <w:rPr>
      <w:rFonts w:ascii="Times New Roman" w:hAnsi="Times New Roman" w:cs="Times New Roman"/>
      <w:kern w:val="0"/>
      <w:szCs w:val="21"/>
    </w:rPr>
  </w:style>
  <w:style w:type="paragraph" w:customStyle="1" w:styleId="33">
    <w:name w:val="Char1 Char Char Char"/>
    <w:basedOn w:val="1"/>
    <w:qFormat/>
    <w:uiPriority w:val="0"/>
    <w:rPr>
      <w:rFonts w:ascii="Times New Roman" w:hAnsi="Times New Roman" w:cs="Times New Roman"/>
      <w:szCs w:val="24"/>
    </w:rPr>
  </w:style>
  <w:style w:type="paragraph" w:customStyle="1" w:styleId="34">
    <w:name w:val="列出段落1"/>
    <w:basedOn w:val="1"/>
    <w:unhideWhenUsed/>
    <w:qFormat/>
    <w:uiPriority w:val="99"/>
    <w:pPr>
      <w:ind w:firstLine="420" w:firstLineChars="200"/>
    </w:pPr>
  </w:style>
  <w:style w:type="character" w:customStyle="1" w:styleId="35">
    <w:name w:val="15"/>
    <w:basedOn w:val="21"/>
    <w:qFormat/>
    <w:uiPriority w:val="0"/>
    <w:rPr>
      <w:rFonts w:hint="default" w:ascii="Times New Roman" w:hAnsi="Times New Roman" w:cs="Times New Roman"/>
      <w:color w:val="CC0000"/>
    </w:rPr>
  </w:style>
  <w:style w:type="paragraph" w:customStyle="1" w:styleId="36">
    <w:name w:val="正文 New New New New New New New New New New New New New New New New New New New New New New"/>
    <w:basedOn w:val="1"/>
    <w:qFormat/>
    <w:uiPriority w:val="0"/>
    <w:rPr>
      <w:rFonts w:cs="Times New Roman"/>
      <w:szCs w:val="21"/>
    </w:rPr>
  </w:style>
  <w:style w:type="paragraph" w:customStyle="1" w:styleId="37">
    <w:name w:val="列出段落11"/>
    <w:basedOn w:val="1"/>
    <w:qFormat/>
    <w:uiPriority w:val="0"/>
    <w:pPr>
      <w:ind w:firstLine="420" w:firstLineChars="200"/>
    </w:pPr>
    <w:rPr>
      <w:rFonts w:cs="宋体"/>
      <w:szCs w:val="21"/>
    </w:rPr>
  </w:style>
  <w:style w:type="paragraph" w:customStyle="1" w:styleId="38">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9">
    <w:name w:val="16"/>
    <w:basedOn w:val="21"/>
    <w:qFormat/>
    <w:uiPriority w:val="0"/>
    <w:rPr>
      <w:rFonts w:hint="default" w:ascii="Times New Roman" w:hAnsi="Times New Roman" w:cs="Times New Roman"/>
      <w:color w:val="000000"/>
      <w:sz w:val="32"/>
      <w:szCs w:val="32"/>
    </w:rPr>
  </w:style>
  <w:style w:type="character" w:customStyle="1" w:styleId="40">
    <w:name w:val="17"/>
    <w:basedOn w:val="21"/>
    <w:qFormat/>
    <w:uiPriority w:val="0"/>
    <w:rPr>
      <w:rFonts w:hint="eastAsia" w:ascii="仿宋" w:hAnsi="仿宋" w:eastAsia="仿宋"/>
      <w:color w:val="000000"/>
      <w:sz w:val="32"/>
      <w:szCs w:val="32"/>
    </w:rPr>
  </w:style>
  <w:style w:type="paragraph" w:customStyle="1" w:styleId="41">
    <w:name w:val="黑体"/>
    <w:basedOn w:val="1"/>
    <w:qFormat/>
    <w:uiPriority w:val="0"/>
    <w:pPr>
      <w:spacing w:line="560" w:lineRule="exact"/>
    </w:pPr>
    <w:rPr>
      <w:rFonts w:eastAsia="黑体" w:cs="宋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2040</Words>
  <Characters>2086</Characters>
  <Lines>30</Lines>
  <Paragraphs>8</Paragraphs>
  <TotalTime>5</TotalTime>
  <ScaleCrop>false</ScaleCrop>
  <LinksUpToDate>false</LinksUpToDate>
  <CharactersWithSpaces>2095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沐雪</cp:lastModifiedBy>
  <cp:lastPrinted>2024-07-16T02:27:32Z</cp:lastPrinted>
  <dcterms:modified xsi:type="dcterms:W3CDTF">2024-07-22T08:52:36Z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EA4E7FCD80324BF59E8199475D89C4BA_13</vt:lpwstr>
  </property>
</Properties>
</file>