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8BCCAE">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bookmarkStart w:id="106" w:name="_GoBack"/>
      <w:bookmarkEnd w:id="106"/>
    </w:p>
    <w:p w14:paraId="14CFB01D">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07141CB0">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44CF6B03">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5478869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方正小标宋_GBK" w:cs="方正小标宋_GBK"/>
          <w:color w:val="000000" w:themeColor="text1"/>
          <w:spacing w:val="6"/>
          <w:sz w:val="44"/>
          <w:szCs w:val="44"/>
          <w:highlight w:val="none"/>
          <w:lang w:val="en-US" w:bidi="ar"/>
          <w14:textFill>
            <w14:solidFill>
              <w14:schemeClr w14:val="tx1"/>
            </w14:solidFill>
          </w14:textFill>
        </w:rPr>
      </w:pPr>
      <w:r>
        <w:rPr>
          <w:rFonts w:hint="eastAsia" w:ascii="Times New Roman" w:hAnsi="Times New Roman" w:eastAsia="方正小标宋_GBK" w:cs="方正小标宋_GBK"/>
          <w:color w:val="000000" w:themeColor="text1"/>
          <w:spacing w:val="6"/>
          <w:sz w:val="44"/>
          <w:szCs w:val="44"/>
          <w:highlight w:val="none"/>
          <w:lang w:val="en-US" w:eastAsia="zh-CN" w:bidi="ar"/>
          <w14:textFill>
            <w14:solidFill>
              <w14:schemeClr w14:val="tx1"/>
            </w14:solidFill>
          </w14:textFill>
        </w:rPr>
        <w:t>巴音乌兰</w:t>
      </w:r>
      <w:r>
        <w:rPr>
          <w:rFonts w:hint="eastAsia" w:eastAsia="方正小标宋_GBK" w:cs="方正小标宋_GBK"/>
          <w:color w:val="000000" w:themeColor="text1"/>
          <w:spacing w:val="6"/>
          <w:sz w:val="44"/>
          <w:szCs w:val="44"/>
          <w:highlight w:val="none"/>
          <w:lang w:val="en-US" w:eastAsia="zh-CN" w:bidi="ar"/>
          <w14:textFill>
            <w14:solidFill>
              <w14:schemeClr w14:val="tx1"/>
            </w14:solidFill>
          </w14:textFill>
        </w:rPr>
        <w:t>苏木</w:t>
      </w:r>
      <w:r>
        <w:rPr>
          <w:rFonts w:hint="eastAsia" w:ascii="Times New Roman" w:hAnsi="Times New Roman" w:eastAsia="方正小标宋_GBK" w:cs="方正小标宋_GBK"/>
          <w:color w:val="000000" w:themeColor="text1"/>
          <w:spacing w:val="6"/>
          <w:sz w:val="44"/>
          <w:szCs w:val="44"/>
          <w:highlight w:val="none"/>
          <w:lang w:val="en-US" w:eastAsia="zh-CN" w:bidi="ar"/>
          <w14:textFill>
            <w14:solidFill>
              <w14:schemeClr w14:val="tx1"/>
            </w14:solidFill>
          </w14:textFill>
        </w:rPr>
        <w:t>“一镇一品”</w:t>
      </w:r>
      <w:r>
        <w:rPr>
          <w:rFonts w:hint="eastAsia" w:eastAsia="方正小标宋_GBK" w:cs="方正小标宋_GBK"/>
          <w:color w:val="000000" w:themeColor="text1"/>
          <w:spacing w:val="6"/>
          <w:sz w:val="44"/>
          <w:szCs w:val="44"/>
          <w:highlight w:val="none"/>
          <w:lang w:val="en-US" w:eastAsia="zh-CN" w:bidi="ar"/>
          <w14:textFill>
            <w14:solidFill>
              <w14:schemeClr w14:val="tx1"/>
            </w14:solidFill>
          </w14:textFill>
        </w:rPr>
        <w:t>“一村一品、庭院经济”总体</w:t>
      </w:r>
      <w:r>
        <w:rPr>
          <w:rFonts w:hint="eastAsia" w:ascii="Times New Roman" w:hAnsi="Times New Roman" w:eastAsia="方正小标宋_GBK" w:cs="方正小标宋_GBK"/>
          <w:color w:val="000000" w:themeColor="text1"/>
          <w:spacing w:val="6"/>
          <w:sz w:val="44"/>
          <w:szCs w:val="44"/>
          <w:highlight w:val="none"/>
          <w:lang w:val="en-US" w:eastAsia="zh-CN" w:bidi="ar"/>
          <w14:textFill>
            <w14:solidFill>
              <w14:schemeClr w14:val="tx1"/>
            </w14:solidFill>
          </w14:textFill>
        </w:rPr>
        <w:t>规划</w:t>
      </w:r>
    </w:p>
    <w:p w14:paraId="2DBCDB4E">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352F156B">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21BC3AE8">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772B5914">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52912EFA">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5BE04140">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14168ED9">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460AE16F">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12CE954A">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539AB8F1">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324D96B0">
      <w:pPr>
        <w:pStyle w:val="2"/>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277982CC">
      <w:pPr>
        <w:pStyle w:val="3"/>
        <w:rPr>
          <w:rFonts w:hint="eastAsia"/>
          <w:color w:val="000000" w:themeColor="text1"/>
          <w14:textFill>
            <w14:solidFill>
              <w14:schemeClr w14:val="tx1"/>
            </w14:solidFill>
          </w14:textFill>
        </w:rPr>
      </w:pPr>
    </w:p>
    <w:p w14:paraId="297A809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黑体_GBK" w:cs="方正黑体_GBK"/>
          <w:color w:val="000000" w:themeColor="text1"/>
          <w:sz w:val="32"/>
          <w:szCs w:val="32"/>
          <w:highlight w:val="none"/>
          <w14:textFill>
            <w14:solidFill>
              <w14:schemeClr w14:val="tx1"/>
            </w14:solidFill>
          </w14:textFill>
        </w:rPr>
      </w:pPr>
      <w:bookmarkStart w:id="0" w:name="_Toc31722"/>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重庆市现代物流发展研究院</w:t>
      </w:r>
      <w:bookmarkEnd w:id="0"/>
    </w:p>
    <w:p w14:paraId="6DDB94E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t>2024年11月</w:t>
      </w:r>
    </w:p>
    <w:p w14:paraId="108AA8B6">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p>
    <w:p w14:paraId="2BC0CBA4">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sectPr>
          <w:headerReference r:id="rId6" w:type="first"/>
          <w:headerReference r:id="rId5" w:type="default"/>
          <w:pgSz w:w="11906" w:h="16838"/>
          <w:pgMar w:top="1440" w:right="1800" w:bottom="1440" w:left="1800" w:header="851" w:footer="992" w:gutter="0"/>
          <w:pgNumType w:fmt="numberInDash" w:start="1"/>
          <w:cols w:space="425" w:num="1"/>
          <w:titlePg/>
          <w:docGrid w:type="lines" w:linePitch="312" w:charSpace="0"/>
        </w:sectPr>
      </w:pPr>
    </w:p>
    <w:sdt>
      <w:sdtPr>
        <w:rPr>
          <w:rFonts w:hint="eastAsia" w:ascii="Times New Roman" w:hAnsi="Times New Roman" w:eastAsia="方正小标宋_GBK" w:cs="方正小标宋_GBK"/>
          <w:color w:val="000000" w:themeColor="text1"/>
          <w:kern w:val="2"/>
          <w:sz w:val="44"/>
          <w:szCs w:val="44"/>
          <w:lang w:val="en-US" w:eastAsia="zh-CN" w:bidi="ar-SA"/>
          <w14:textFill>
            <w14:solidFill>
              <w14:schemeClr w14:val="tx1"/>
            </w14:solidFill>
          </w14:textFill>
        </w:rPr>
        <w:id w:val="147468957"/>
        <w15:color w:val="DBDBDB"/>
        <w:docPartObj>
          <w:docPartGallery w:val="Table of Contents"/>
          <w:docPartUnique/>
        </w:docPartObj>
      </w:sdtPr>
      <w:sdtEndPr>
        <w:rPr>
          <w:rFonts w:hint="eastAsia" w:ascii="Times New Roman" w:hAnsi="Times New Roman" w:eastAsia="方正小标宋_GBK" w:cs="方正小标宋_GBK"/>
          <w:color w:val="000000" w:themeColor="text1"/>
          <w:spacing w:val="6"/>
          <w:kern w:val="2"/>
          <w:sz w:val="21"/>
          <w:szCs w:val="44"/>
          <w:highlight w:val="none"/>
          <w:lang w:val="en-US" w:eastAsia="zh-CN" w:bidi="ar"/>
          <w14:textFill>
            <w14:solidFill>
              <w14:schemeClr w14:val="tx1"/>
            </w14:solidFill>
          </w14:textFill>
        </w:rPr>
      </w:sdtEndPr>
      <w:sdtContent>
        <w:p w14:paraId="2BADAFC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Times New Roman" w:hAnsi="Times New Roman" w:eastAsia="方正小标宋_GBK" w:cs="方正小标宋_GBK"/>
              <w:color w:val="000000" w:themeColor="text1"/>
              <w:kern w:val="2"/>
              <w:sz w:val="44"/>
              <w:szCs w:val="44"/>
              <w:lang w:val="en-US" w:eastAsia="zh-CN" w:bidi="ar-SA"/>
              <w14:textFill>
                <w14:solidFill>
                  <w14:schemeClr w14:val="tx1"/>
                </w14:solidFill>
              </w14:textFill>
            </w:rPr>
          </w:pPr>
          <w:r>
            <w:rPr>
              <w:rFonts w:hint="eastAsia" w:ascii="Times New Roman" w:hAnsi="Times New Roman" w:eastAsia="方正小标宋_GBK" w:cs="方正小标宋_GBK"/>
              <w:color w:val="000000" w:themeColor="text1"/>
              <w:kern w:val="2"/>
              <w:sz w:val="44"/>
              <w:szCs w:val="44"/>
              <w:lang w:val="en-US" w:eastAsia="zh-CN" w:bidi="ar-SA"/>
              <w14:textFill>
                <w14:solidFill>
                  <w14:schemeClr w14:val="tx1"/>
                </w14:solidFill>
              </w14:textFill>
            </w:rPr>
            <w:t>目  录</w:t>
          </w:r>
        </w:p>
        <w:p w14:paraId="011C07B9">
          <w:pPr>
            <w:pStyle w:val="17"/>
            <w:tabs>
              <w:tab w:val="right" w:leader="dot" w:pos="8306"/>
            </w:tabs>
            <w:ind w:left="0" w:leftChars="0" w:firstLine="664" w:firstLineChars="200"/>
            <w:rPr>
              <w:sz w:val="24"/>
              <w:szCs w:val="24"/>
            </w:rPr>
          </w:pPr>
          <w:r>
            <w:rPr>
              <w:rFonts w:hint="eastAsia" w:ascii="Times New Roman" w:hAnsi="Times New Roman" w:eastAsia="方正小标宋_GBK" w:cs="方正小标宋_GBK"/>
              <w:color w:val="000000" w:themeColor="text1"/>
              <w:spacing w:val="6"/>
              <w:sz w:val="32"/>
              <w:szCs w:val="32"/>
              <w:highlight w:val="none"/>
              <w:lang w:bidi="ar"/>
              <w14:textFill>
                <w14:solidFill>
                  <w14:schemeClr w14:val="tx1"/>
                </w14:solidFill>
              </w14:textFill>
            </w:rPr>
            <w:fldChar w:fldCharType="begin"/>
          </w:r>
          <w:r>
            <w:rPr>
              <w:rFonts w:hint="eastAsia" w:ascii="Times New Roman" w:hAnsi="Times New Roman" w:eastAsia="方正小标宋_GBK" w:cs="方正小标宋_GBK"/>
              <w:color w:val="000000" w:themeColor="text1"/>
              <w:spacing w:val="6"/>
              <w:sz w:val="32"/>
              <w:szCs w:val="32"/>
              <w:highlight w:val="none"/>
              <w:lang w:bidi="ar"/>
              <w14:textFill>
                <w14:solidFill>
                  <w14:schemeClr w14:val="tx1"/>
                </w14:solidFill>
              </w14:textFill>
            </w:rPr>
            <w:instrText xml:space="preserve">TOC \o "1-3" \h \u </w:instrText>
          </w:r>
          <w:r>
            <w:rPr>
              <w:rFonts w:hint="eastAsia" w:ascii="Times New Roman" w:hAnsi="Times New Roman" w:eastAsia="方正小标宋_GBK" w:cs="方正小标宋_GBK"/>
              <w:color w:val="000000" w:themeColor="text1"/>
              <w:spacing w:val="6"/>
              <w:sz w:val="32"/>
              <w:szCs w:val="32"/>
              <w:highlight w:val="none"/>
              <w:lang w:bidi="ar"/>
              <w14:textFill>
                <w14:solidFill>
                  <w14:schemeClr w14:val="tx1"/>
                </w14:solidFill>
              </w14:textFill>
            </w:rPr>
            <w:fldChar w:fldCharType="separate"/>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_Toc10657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黑体_GBK" w:cs="方正黑体_GBK"/>
              <w:sz w:val="24"/>
              <w:szCs w:val="24"/>
              <w:highlight w:val="none"/>
            </w:rPr>
            <w:t>一、产业定位</w:t>
          </w:r>
          <w:r>
            <w:rPr>
              <w:sz w:val="24"/>
              <w:szCs w:val="24"/>
            </w:rPr>
            <w:tab/>
          </w:r>
          <w:r>
            <w:rPr>
              <w:sz w:val="24"/>
              <w:szCs w:val="24"/>
            </w:rPr>
            <w:fldChar w:fldCharType="begin"/>
          </w:r>
          <w:r>
            <w:rPr>
              <w:sz w:val="24"/>
              <w:szCs w:val="24"/>
            </w:rPr>
            <w:instrText xml:space="preserve"> PAGEREF _Toc10657 \h </w:instrText>
          </w:r>
          <w:r>
            <w:rPr>
              <w:sz w:val="24"/>
              <w:szCs w:val="24"/>
            </w:rPr>
            <w:fldChar w:fldCharType="separate"/>
          </w:r>
          <w:r>
            <w:rPr>
              <w:sz w:val="24"/>
              <w:szCs w:val="24"/>
            </w:rPr>
            <w:t>1</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41E67F4B">
          <w:pPr>
            <w:pStyle w:val="17"/>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_Toc19751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黑体_GBK" w:cs="方正黑体_GBK"/>
              <w:sz w:val="24"/>
              <w:szCs w:val="24"/>
              <w:highlight w:val="none"/>
            </w:rPr>
            <w:t>二、目标任务</w:t>
          </w:r>
          <w:r>
            <w:rPr>
              <w:sz w:val="24"/>
              <w:szCs w:val="24"/>
            </w:rPr>
            <w:tab/>
          </w:r>
          <w:r>
            <w:rPr>
              <w:sz w:val="24"/>
              <w:szCs w:val="24"/>
            </w:rPr>
            <w:fldChar w:fldCharType="begin"/>
          </w:r>
          <w:r>
            <w:rPr>
              <w:sz w:val="24"/>
              <w:szCs w:val="24"/>
            </w:rPr>
            <w:instrText xml:space="preserve"> PAGEREF _Toc19751 \h </w:instrText>
          </w:r>
          <w:r>
            <w:rPr>
              <w:sz w:val="24"/>
              <w:szCs w:val="24"/>
            </w:rPr>
            <w:fldChar w:fldCharType="separate"/>
          </w:r>
          <w:r>
            <w:rPr>
              <w:sz w:val="24"/>
              <w:szCs w:val="24"/>
            </w:rPr>
            <w:t>2</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2CE4A6D3">
          <w:pPr>
            <w:pStyle w:val="17"/>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_Toc27001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黑体_GBK" w:cs="方正黑体_GBK"/>
              <w:sz w:val="24"/>
              <w:szCs w:val="24"/>
              <w:highlight w:val="none"/>
            </w:rPr>
            <w:t>三、</w:t>
          </w:r>
          <w:r>
            <w:rPr>
              <w:rFonts w:hint="eastAsia" w:ascii="Times New Roman" w:hAnsi="Times New Roman" w:eastAsia="方正黑体_GBK" w:cs="方正黑体_GBK"/>
              <w:sz w:val="24"/>
              <w:szCs w:val="24"/>
              <w:highlight w:val="none"/>
              <w:lang w:val="en-US" w:eastAsia="zh-CN"/>
            </w:rPr>
            <w:t>规划</w:t>
          </w:r>
          <w:r>
            <w:rPr>
              <w:rFonts w:hint="eastAsia" w:ascii="Times New Roman" w:hAnsi="Times New Roman" w:eastAsia="方正黑体_GBK" w:cs="方正黑体_GBK"/>
              <w:sz w:val="24"/>
              <w:szCs w:val="24"/>
              <w:highlight w:val="none"/>
            </w:rPr>
            <w:t>布局</w:t>
          </w:r>
          <w:r>
            <w:rPr>
              <w:sz w:val="24"/>
              <w:szCs w:val="24"/>
            </w:rPr>
            <w:tab/>
          </w:r>
          <w:r>
            <w:rPr>
              <w:sz w:val="24"/>
              <w:szCs w:val="24"/>
            </w:rPr>
            <w:fldChar w:fldCharType="begin"/>
          </w:r>
          <w:r>
            <w:rPr>
              <w:sz w:val="24"/>
              <w:szCs w:val="24"/>
            </w:rPr>
            <w:instrText xml:space="preserve"> PAGEREF _Toc27001 \h </w:instrText>
          </w:r>
          <w:r>
            <w:rPr>
              <w:sz w:val="24"/>
              <w:szCs w:val="24"/>
            </w:rPr>
            <w:fldChar w:fldCharType="separate"/>
          </w:r>
          <w:r>
            <w:rPr>
              <w:sz w:val="24"/>
              <w:szCs w:val="24"/>
            </w:rPr>
            <w:t>2</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C10D554">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_Toc10755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val="en-US" w:eastAsia="zh-CN" w:bidi="ar"/>
            </w:rPr>
            <w:t>（一）“一镇一品”特色产业布局</w:t>
          </w:r>
          <w:r>
            <w:rPr>
              <w:sz w:val="24"/>
              <w:szCs w:val="24"/>
            </w:rPr>
            <w:tab/>
          </w:r>
          <w:r>
            <w:rPr>
              <w:sz w:val="24"/>
              <w:szCs w:val="24"/>
            </w:rPr>
            <w:fldChar w:fldCharType="begin"/>
          </w:r>
          <w:r>
            <w:rPr>
              <w:sz w:val="24"/>
              <w:szCs w:val="24"/>
            </w:rPr>
            <w:instrText xml:space="preserve"> PAGEREF _Toc10755 \h </w:instrText>
          </w:r>
          <w:r>
            <w:rPr>
              <w:sz w:val="24"/>
              <w:szCs w:val="24"/>
            </w:rPr>
            <w:fldChar w:fldCharType="separate"/>
          </w:r>
          <w:r>
            <w:rPr>
              <w:sz w:val="24"/>
              <w:szCs w:val="24"/>
            </w:rPr>
            <w:t>2</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7ABA4BE2">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_Toc26963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eastAsia="zh-CN" w:bidi="ar"/>
            </w:rPr>
            <w:t>（</w:t>
          </w:r>
          <w:r>
            <w:rPr>
              <w:rFonts w:hint="eastAsia" w:ascii="Times New Roman" w:hAnsi="Times New Roman" w:eastAsia="方正楷体_GBK" w:cs="方正楷体_GBK"/>
              <w:spacing w:val="6"/>
              <w:sz w:val="24"/>
              <w:szCs w:val="24"/>
              <w:highlight w:val="none"/>
              <w:lang w:val="en-US" w:eastAsia="zh-CN" w:bidi="ar"/>
            </w:rPr>
            <w:t>二</w:t>
          </w:r>
          <w:r>
            <w:rPr>
              <w:rFonts w:hint="eastAsia" w:ascii="Times New Roman" w:hAnsi="Times New Roman" w:eastAsia="方正楷体_GBK" w:cs="方正楷体_GBK"/>
              <w:spacing w:val="6"/>
              <w:sz w:val="24"/>
              <w:szCs w:val="24"/>
              <w:highlight w:val="none"/>
              <w:lang w:eastAsia="zh-CN" w:bidi="ar"/>
            </w:rPr>
            <w:t>）“</w:t>
          </w:r>
          <w:r>
            <w:rPr>
              <w:rFonts w:hint="eastAsia" w:ascii="Times New Roman" w:hAnsi="Times New Roman" w:eastAsia="方正楷体_GBK" w:cs="方正楷体_GBK"/>
              <w:spacing w:val="6"/>
              <w:sz w:val="24"/>
              <w:szCs w:val="24"/>
              <w:highlight w:val="none"/>
              <w:lang w:val="en-US" w:eastAsia="zh-CN" w:bidi="ar"/>
            </w:rPr>
            <w:t>一村一品</w:t>
          </w:r>
          <w:r>
            <w:rPr>
              <w:rFonts w:hint="eastAsia" w:ascii="Times New Roman" w:hAnsi="Times New Roman" w:eastAsia="方正楷体_GBK" w:cs="方正楷体_GBK"/>
              <w:spacing w:val="6"/>
              <w:sz w:val="24"/>
              <w:szCs w:val="24"/>
              <w:highlight w:val="none"/>
              <w:lang w:eastAsia="zh-CN" w:bidi="ar"/>
            </w:rPr>
            <w:t>”</w:t>
          </w:r>
          <w:r>
            <w:rPr>
              <w:rFonts w:hint="eastAsia" w:ascii="Times New Roman" w:hAnsi="Times New Roman" w:eastAsia="方正楷体_GBK" w:cs="方正楷体_GBK"/>
              <w:spacing w:val="6"/>
              <w:sz w:val="24"/>
              <w:szCs w:val="24"/>
              <w:highlight w:val="none"/>
              <w:lang w:val="en-US" w:eastAsia="zh-CN" w:bidi="ar"/>
            </w:rPr>
            <w:t>特色产业布局</w:t>
          </w:r>
          <w:r>
            <w:rPr>
              <w:sz w:val="24"/>
              <w:szCs w:val="24"/>
            </w:rPr>
            <w:tab/>
          </w:r>
          <w:r>
            <w:rPr>
              <w:sz w:val="24"/>
              <w:szCs w:val="24"/>
            </w:rPr>
            <w:fldChar w:fldCharType="begin"/>
          </w:r>
          <w:r>
            <w:rPr>
              <w:sz w:val="24"/>
              <w:szCs w:val="24"/>
            </w:rPr>
            <w:instrText xml:space="preserve"> PAGEREF _Toc26963 \h </w:instrText>
          </w:r>
          <w:r>
            <w:rPr>
              <w:sz w:val="24"/>
              <w:szCs w:val="24"/>
            </w:rPr>
            <w:fldChar w:fldCharType="separate"/>
          </w:r>
          <w:r>
            <w:rPr>
              <w:sz w:val="24"/>
              <w:szCs w:val="24"/>
            </w:rPr>
            <w:t>5</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2844079B">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_Toc9297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eastAsia="zh-CN" w:bidi="ar"/>
            </w:rPr>
            <w:t>（</w:t>
          </w:r>
          <w:r>
            <w:rPr>
              <w:rFonts w:hint="eastAsia" w:ascii="Times New Roman" w:hAnsi="Times New Roman" w:eastAsia="方正楷体_GBK" w:cs="方正楷体_GBK"/>
              <w:spacing w:val="6"/>
              <w:sz w:val="24"/>
              <w:szCs w:val="24"/>
              <w:highlight w:val="none"/>
              <w:lang w:val="en-US" w:eastAsia="zh-CN" w:bidi="ar"/>
            </w:rPr>
            <w:t>三</w:t>
          </w:r>
          <w:r>
            <w:rPr>
              <w:rFonts w:hint="eastAsia" w:ascii="Times New Roman" w:hAnsi="Times New Roman" w:eastAsia="方正楷体_GBK" w:cs="方正楷体_GBK"/>
              <w:spacing w:val="6"/>
              <w:sz w:val="24"/>
              <w:szCs w:val="24"/>
              <w:highlight w:val="none"/>
              <w:lang w:eastAsia="zh-CN" w:bidi="ar"/>
            </w:rPr>
            <w:t>）</w:t>
          </w:r>
          <w:r>
            <w:rPr>
              <w:rFonts w:hint="eastAsia" w:ascii="Times New Roman" w:hAnsi="Times New Roman" w:eastAsia="方正楷体_GBK" w:cs="方正楷体_GBK"/>
              <w:spacing w:val="6"/>
              <w:sz w:val="24"/>
              <w:szCs w:val="24"/>
              <w:highlight w:val="none"/>
              <w:lang w:val="en-US" w:eastAsia="zh-CN" w:bidi="ar"/>
            </w:rPr>
            <w:t>庭院经济产业布局</w:t>
          </w:r>
          <w:r>
            <w:rPr>
              <w:sz w:val="24"/>
              <w:szCs w:val="24"/>
            </w:rPr>
            <w:tab/>
          </w:r>
          <w:r>
            <w:rPr>
              <w:sz w:val="24"/>
              <w:szCs w:val="24"/>
            </w:rPr>
            <w:fldChar w:fldCharType="begin"/>
          </w:r>
          <w:r>
            <w:rPr>
              <w:sz w:val="24"/>
              <w:szCs w:val="24"/>
            </w:rPr>
            <w:instrText xml:space="preserve"> PAGEREF _Toc9297 \h </w:instrText>
          </w:r>
          <w:r>
            <w:rPr>
              <w:sz w:val="24"/>
              <w:szCs w:val="24"/>
            </w:rPr>
            <w:fldChar w:fldCharType="separate"/>
          </w:r>
          <w:r>
            <w:rPr>
              <w:sz w:val="24"/>
              <w:szCs w:val="24"/>
            </w:rPr>
            <w:t>6</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E7768E3">
          <w:pPr>
            <w:pStyle w:val="17"/>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_Toc21883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黑体_GBK" w:cs="方正黑体_GBK"/>
              <w:sz w:val="24"/>
              <w:szCs w:val="24"/>
              <w:highlight w:val="none"/>
            </w:rPr>
            <w:t>四、</w:t>
          </w:r>
          <w:r>
            <w:rPr>
              <w:rFonts w:hint="eastAsia" w:ascii="Times New Roman" w:hAnsi="Times New Roman" w:eastAsia="方正黑体_GBK" w:cs="方正黑体_GBK"/>
              <w:sz w:val="24"/>
              <w:szCs w:val="24"/>
              <w:highlight w:val="none"/>
              <w:lang w:val="en-US" w:eastAsia="zh-CN"/>
            </w:rPr>
            <w:t>主要任务</w:t>
          </w:r>
          <w:r>
            <w:rPr>
              <w:sz w:val="24"/>
              <w:szCs w:val="24"/>
            </w:rPr>
            <w:tab/>
          </w:r>
          <w:r>
            <w:rPr>
              <w:sz w:val="24"/>
              <w:szCs w:val="24"/>
            </w:rPr>
            <w:fldChar w:fldCharType="begin"/>
          </w:r>
          <w:r>
            <w:rPr>
              <w:sz w:val="24"/>
              <w:szCs w:val="24"/>
            </w:rPr>
            <w:instrText xml:space="preserve"> PAGEREF _Toc21883 \h </w:instrText>
          </w:r>
          <w:r>
            <w:rPr>
              <w:sz w:val="24"/>
              <w:szCs w:val="24"/>
            </w:rPr>
            <w:fldChar w:fldCharType="separate"/>
          </w:r>
          <w:r>
            <w:rPr>
              <w:sz w:val="24"/>
              <w:szCs w:val="24"/>
            </w:rPr>
            <w:t>7</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25A3B8D3">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_Toc29888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eastAsia="zh-CN" w:bidi="ar"/>
            </w:rPr>
            <w:t>（</w:t>
          </w:r>
          <w:r>
            <w:rPr>
              <w:rFonts w:hint="eastAsia" w:ascii="Times New Roman" w:hAnsi="Times New Roman" w:eastAsia="方正楷体_GBK" w:cs="方正楷体_GBK"/>
              <w:spacing w:val="6"/>
              <w:sz w:val="24"/>
              <w:szCs w:val="24"/>
              <w:highlight w:val="none"/>
              <w:lang w:val="en-US" w:eastAsia="zh-CN" w:bidi="ar"/>
            </w:rPr>
            <w:t>一</w:t>
          </w:r>
          <w:r>
            <w:rPr>
              <w:rFonts w:hint="eastAsia" w:ascii="Times New Roman" w:hAnsi="Times New Roman" w:eastAsia="方正楷体_GBK" w:cs="方正楷体_GBK"/>
              <w:spacing w:val="6"/>
              <w:sz w:val="24"/>
              <w:szCs w:val="24"/>
              <w:highlight w:val="none"/>
              <w:lang w:eastAsia="zh-CN" w:bidi="ar"/>
            </w:rPr>
            <w:t>）加强现代养殖体系建设</w:t>
          </w:r>
          <w:r>
            <w:rPr>
              <w:sz w:val="24"/>
              <w:szCs w:val="24"/>
            </w:rPr>
            <w:tab/>
          </w:r>
          <w:r>
            <w:rPr>
              <w:sz w:val="24"/>
              <w:szCs w:val="24"/>
            </w:rPr>
            <w:fldChar w:fldCharType="begin"/>
          </w:r>
          <w:r>
            <w:rPr>
              <w:sz w:val="24"/>
              <w:szCs w:val="24"/>
            </w:rPr>
            <w:instrText xml:space="preserve"> PAGEREF _Toc29888 \h </w:instrText>
          </w:r>
          <w:r>
            <w:rPr>
              <w:sz w:val="24"/>
              <w:szCs w:val="24"/>
            </w:rPr>
            <w:fldChar w:fldCharType="separate"/>
          </w:r>
          <w:r>
            <w:rPr>
              <w:sz w:val="24"/>
              <w:szCs w:val="24"/>
            </w:rPr>
            <w:t>7</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84BEE44">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_Toc5323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w:t>
          </w:r>
          <w:r>
            <w:rPr>
              <w:rFonts w:hint="eastAsia" w:ascii="Times New Roman" w:hAnsi="Times New Roman" w:eastAsia="方正楷体_GBK" w:cs="方正楷体_GBK"/>
              <w:spacing w:val="6"/>
              <w:sz w:val="24"/>
              <w:szCs w:val="24"/>
              <w:highlight w:val="none"/>
              <w:lang w:val="en-US" w:eastAsia="zh-CN" w:bidi="ar"/>
            </w:rPr>
            <w:t>二</w:t>
          </w:r>
          <w:r>
            <w:rPr>
              <w:rFonts w:hint="eastAsia" w:ascii="Times New Roman" w:hAnsi="Times New Roman" w:eastAsia="方正楷体_GBK" w:cs="方正楷体_GBK"/>
              <w:spacing w:val="6"/>
              <w:sz w:val="24"/>
              <w:szCs w:val="24"/>
              <w:highlight w:val="none"/>
              <w:lang w:bidi="ar"/>
            </w:rPr>
            <w:t>）加快发展</w:t>
          </w:r>
          <w:r>
            <w:rPr>
              <w:rFonts w:hint="eastAsia" w:ascii="Times New Roman" w:hAnsi="Times New Roman" w:eastAsia="方正楷体_GBK" w:cs="方正楷体_GBK"/>
              <w:spacing w:val="6"/>
              <w:sz w:val="24"/>
              <w:szCs w:val="24"/>
              <w:highlight w:val="none"/>
              <w:lang w:val="en-US" w:eastAsia="zh-CN" w:bidi="ar"/>
            </w:rPr>
            <w:t>畜牧</w:t>
          </w:r>
          <w:r>
            <w:rPr>
              <w:rFonts w:hint="eastAsia" w:ascii="Times New Roman" w:hAnsi="Times New Roman" w:eastAsia="方正楷体_GBK" w:cs="方正楷体_GBK"/>
              <w:spacing w:val="6"/>
              <w:sz w:val="24"/>
              <w:szCs w:val="24"/>
              <w:highlight w:val="none"/>
              <w:lang w:bidi="ar"/>
            </w:rPr>
            <w:t>产品加工业</w:t>
          </w:r>
          <w:r>
            <w:rPr>
              <w:sz w:val="24"/>
              <w:szCs w:val="24"/>
            </w:rPr>
            <w:tab/>
          </w:r>
          <w:r>
            <w:rPr>
              <w:sz w:val="24"/>
              <w:szCs w:val="24"/>
            </w:rPr>
            <w:fldChar w:fldCharType="begin"/>
          </w:r>
          <w:r>
            <w:rPr>
              <w:sz w:val="24"/>
              <w:szCs w:val="24"/>
            </w:rPr>
            <w:instrText xml:space="preserve"> PAGEREF _Toc5323 \h </w:instrText>
          </w:r>
          <w:r>
            <w:rPr>
              <w:sz w:val="24"/>
              <w:szCs w:val="24"/>
            </w:rPr>
            <w:fldChar w:fldCharType="separate"/>
          </w:r>
          <w:r>
            <w:rPr>
              <w:sz w:val="24"/>
              <w:szCs w:val="24"/>
            </w:rPr>
            <w:t>13</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BCEB635">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_Toc31608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w:t>
          </w:r>
          <w:r>
            <w:rPr>
              <w:rFonts w:hint="eastAsia" w:ascii="Times New Roman" w:hAnsi="Times New Roman" w:eastAsia="方正楷体_GBK" w:cs="方正楷体_GBK"/>
              <w:spacing w:val="6"/>
              <w:sz w:val="24"/>
              <w:szCs w:val="24"/>
              <w:highlight w:val="none"/>
              <w:lang w:val="en-US" w:eastAsia="zh-CN" w:bidi="ar"/>
            </w:rPr>
            <w:t>三</w:t>
          </w:r>
          <w:r>
            <w:rPr>
              <w:rFonts w:hint="eastAsia" w:ascii="Times New Roman" w:hAnsi="Times New Roman" w:eastAsia="方正楷体_GBK" w:cs="方正楷体_GBK"/>
              <w:spacing w:val="6"/>
              <w:sz w:val="24"/>
              <w:szCs w:val="24"/>
              <w:highlight w:val="none"/>
              <w:lang w:bidi="ar"/>
            </w:rPr>
            <w:t>）</w:t>
          </w:r>
          <w:r>
            <w:rPr>
              <w:rFonts w:hint="eastAsia" w:ascii="Times New Roman" w:hAnsi="Times New Roman" w:eastAsia="方正楷体_GBK" w:cs="方正楷体_GBK"/>
              <w:spacing w:val="6"/>
              <w:sz w:val="24"/>
              <w:szCs w:val="24"/>
              <w:highlight w:val="none"/>
              <w:lang w:val="en-US" w:eastAsia="zh-CN" w:bidi="ar"/>
            </w:rPr>
            <w:t>加强马文化旅游融合发展</w:t>
          </w:r>
          <w:r>
            <w:rPr>
              <w:sz w:val="24"/>
              <w:szCs w:val="24"/>
            </w:rPr>
            <w:tab/>
          </w:r>
          <w:r>
            <w:rPr>
              <w:sz w:val="24"/>
              <w:szCs w:val="24"/>
            </w:rPr>
            <w:fldChar w:fldCharType="begin"/>
          </w:r>
          <w:r>
            <w:rPr>
              <w:sz w:val="24"/>
              <w:szCs w:val="24"/>
            </w:rPr>
            <w:instrText xml:space="preserve"> PAGEREF _Toc31608 \h </w:instrText>
          </w:r>
          <w:r>
            <w:rPr>
              <w:sz w:val="24"/>
              <w:szCs w:val="24"/>
            </w:rPr>
            <w:fldChar w:fldCharType="separate"/>
          </w:r>
          <w:r>
            <w:rPr>
              <w:sz w:val="24"/>
              <w:szCs w:val="24"/>
            </w:rPr>
            <w:t>16</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CD14E70">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_Toc1281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w:t>
          </w:r>
          <w:r>
            <w:rPr>
              <w:rFonts w:hint="eastAsia" w:ascii="Times New Roman" w:hAnsi="Times New Roman" w:eastAsia="方正楷体_GBK" w:cs="方正楷体_GBK"/>
              <w:spacing w:val="6"/>
              <w:sz w:val="24"/>
              <w:szCs w:val="24"/>
              <w:highlight w:val="none"/>
              <w:lang w:val="en-US" w:eastAsia="zh-CN" w:bidi="ar"/>
            </w:rPr>
            <w:t>四</w:t>
          </w:r>
          <w:r>
            <w:rPr>
              <w:rFonts w:hint="eastAsia" w:ascii="Times New Roman" w:hAnsi="Times New Roman" w:eastAsia="方正楷体_GBK" w:cs="方正楷体_GBK"/>
              <w:spacing w:val="6"/>
              <w:sz w:val="24"/>
              <w:szCs w:val="24"/>
              <w:highlight w:val="none"/>
              <w:lang w:bidi="ar"/>
            </w:rPr>
            <w:t>）</w:t>
          </w:r>
          <w:r>
            <w:rPr>
              <w:rFonts w:hint="eastAsia" w:ascii="Times New Roman" w:hAnsi="Times New Roman" w:eastAsia="方正楷体_GBK" w:cs="方正楷体_GBK"/>
              <w:spacing w:val="6"/>
              <w:sz w:val="24"/>
              <w:szCs w:val="24"/>
              <w:highlight w:val="none"/>
              <w:lang w:val="en-US" w:eastAsia="zh-CN" w:bidi="ar"/>
            </w:rPr>
            <w:t>加快发展马竞体育产业</w:t>
          </w:r>
          <w:r>
            <w:rPr>
              <w:sz w:val="24"/>
              <w:szCs w:val="24"/>
            </w:rPr>
            <w:tab/>
          </w:r>
          <w:r>
            <w:rPr>
              <w:sz w:val="24"/>
              <w:szCs w:val="24"/>
            </w:rPr>
            <w:fldChar w:fldCharType="begin"/>
          </w:r>
          <w:r>
            <w:rPr>
              <w:sz w:val="24"/>
              <w:szCs w:val="24"/>
            </w:rPr>
            <w:instrText xml:space="preserve"> PAGEREF _Toc1281 \h </w:instrText>
          </w:r>
          <w:r>
            <w:rPr>
              <w:sz w:val="24"/>
              <w:szCs w:val="24"/>
            </w:rPr>
            <w:fldChar w:fldCharType="separate"/>
          </w:r>
          <w:r>
            <w:rPr>
              <w:sz w:val="24"/>
              <w:szCs w:val="24"/>
            </w:rPr>
            <w:t>22</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5F671C38">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_Toc28445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w:t>
          </w:r>
          <w:r>
            <w:rPr>
              <w:rFonts w:hint="eastAsia" w:ascii="Times New Roman" w:hAnsi="Times New Roman" w:eastAsia="方正楷体_GBK" w:cs="方正楷体_GBK"/>
              <w:spacing w:val="6"/>
              <w:sz w:val="24"/>
              <w:szCs w:val="24"/>
              <w:highlight w:val="none"/>
              <w:lang w:val="en-US" w:eastAsia="zh-CN" w:bidi="ar"/>
            </w:rPr>
            <w:t>五</w:t>
          </w:r>
          <w:r>
            <w:rPr>
              <w:rFonts w:hint="eastAsia" w:ascii="Times New Roman" w:hAnsi="Times New Roman" w:eastAsia="方正楷体_GBK" w:cs="方正楷体_GBK"/>
              <w:spacing w:val="6"/>
              <w:sz w:val="24"/>
              <w:szCs w:val="24"/>
              <w:highlight w:val="none"/>
              <w:lang w:bidi="ar"/>
            </w:rPr>
            <w:t>）加快马产业标准体系建设</w:t>
          </w:r>
          <w:r>
            <w:rPr>
              <w:sz w:val="24"/>
              <w:szCs w:val="24"/>
            </w:rPr>
            <w:tab/>
          </w:r>
          <w:r>
            <w:rPr>
              <w:sz w:val="24"/>
              <w:szCs w:val="24"/>
            </w:rPr>
            <w:fldChar w:fldCharType="begin"/>
          </w:r>
          <w:r>
            <w:rPr>
              <w:sz w:val="24"/>
              <w:szCs w:val="24"/>
            </w:rPr>
            <w:instrText xml:space="preserve"> PAGEREF _Toc28445 \h </w:instrText>
          </w:r>
          <w:r>
            <w:rPr>
              <w:sz w:val="24"/>
              <w:szCs w:val="24"/>
            </w:rPr>
            <w:fldChar w:fldCharType="separate"/>
          </w:r>
          <w:r>
            <w:rPr>
              <w:sz w:val="24"/>
              <w:szCs w:val="24"/>
            </w:rPr>
            <w:t>25</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4846423F">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_Toc23614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val="en-US" w:eastAsia="zh-CN" w:bidi="ar"/>
            </w:rPr>
            <w:t>（六）加强马产业保障体系建设</w:t>
          </w:r>
          <w:r>
            <w:rPr>
              <w:sz w:val="24"/>
              <w:szCs w:val="24"/>
            </w:rPr>
            <w:tab/>
          </w:r>
          <w:r>
            <w:rPr>
              <w:sz w:val="24"/>
              <w:szCs w:val="24"/>
            </w:rPr>
            <w:fldChar w:fldCharType="begin"/>
          </w:r>
          <w:r>
            <w:rPr>
              <w:sz w:val="24"/>
              <w:szCs w:val="24"/>
            </w:rPr>
            <w:instrText xml:space="preserve"> PAGEREF _Toc23614 \h </w:instrText>
          </w:r>
          <w:r>
            <w:rPr>
              <w:sz w:val="24"/>
              <w:szCs w:val="24"/>
            </w:rPr>
            <w:fldChar w:fldCharType="separate"/>
          </w:r>
          <w:r>
            <w:rPr>
              <w:sz w:val="24"/>
              <w:szCs w:val="24"/>
            </w:rPr>
            <w:t>26</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2766555A">
          <w:pPr>
            <w:pStyle w:val="17"/>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_Toc8398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黑体_GBK" w:cs="方正黑体_GBK"/>
              <w:sz w:val="24"/>
              <w:szCs w:val="24"/>
              <w:highlight w:val="none"/>
              <w:lang w:val="en-US" w:eastAsia="zh-CN"/>
            </w:rPr>
            <w:t>五</w:t>
          </w:r>
          <w:r>
            <w:rPr>
              <w:rFonts w:hint="eastAsia" w:ascii="Times New Roman" w:hAnsi="Times New Roman" w:eastAsia="方正黑体_GBK" w:cs="方正黑体_GBK"/>
              <w:sz w:val="24"/>
              <w:szCs w:val="24"/>
              <w:highlight w:val="none"/>
            </w:rPr>
            <w:t>、建设时序</w:t>
          </w:r>
          <w:r>
            <w:rPr>
              <w:sz w:val="24"/>
              <w:szCs w:val="24"/>
            </w:rPr>
            <w:tab/>
          </w:r>
          <w:r>
            <w:rPr>
              <w:sz w:val="24"/>
              <w:szCs w:val="24"/>
            </w:rPr>
            <w:fldChar w:fldCharType="begin"/>
          </w:r>
          <w:r>
            <w:rPr>
              <w:sz w:val="24"/>
              <w:szCs w:val="24"/>
            </w:rPr>
            <w:instrText xml:space="preserve"> PAGEREF _Toc8398 \h </w:instrText>
          </w:r>
          <w:r>
            <w:rPr>
              <w:sz w:val="24"/>
              <w:szCs w:val="24"/>
            </w:rPr>
            <w:fldChar w:fldCharType="separate"/>
          </w:r>
          <w:r>
            <w:rPr>
              <w:sz w:val="24"/>
              <w:szCs w:val="24"/>
            </w:rPr>
            <w:t>29</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405A3DA2">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_Toc18015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（一）调研规划阶段（2023年</w:t>
          </w:r>
          <w:r>
            <w:rPr>
              <w:rFonts w:hint="eastAsia" w:ascii="Times New Roman" w:hAnsi="Times New Roman" w:eastAsia="方正楷体_GBK" w:cs="方正楷体_GBK"/>
              <w:spacing w:val="6"/>
              <w:sz w:val="24"/>
              <w:szCs w:val="24"/>
              <w:highlight w:val="none"/>
              <w:lang w:val="en-US" w:eastAsia="zh-CN" w:bidi="ar"/>
            </w:rPr>
            <w:t>12</w:t>
          </w:r>
          <w:r>
            <w:rPr>
              <w:rFonts w:hint="eastAsia" w:ascii="Times New Roman" w:hAnsi="Times New Roman" w:eastAsia="方正楷体_GBK" w:cs="方正楷体_GBK"/>
              <w:spacing w:val="6"/>
              <w:sz w:val="24"/>
              <w:szCs w:val="24"/>
              <w:highlight w:val="none"/>
              <w:lang w:bidi="ar"/>
            </w:rPr>
            <w:t>月—202</w:t>
          </w:r>
          <w:r>
            <w:rPr>
              <w:rFonts w:hint="eastAsia" w:ascii="Times New Roman" w:hAnsi="Times New Roman" w:eastAsia="方正楷体_GBK" w:cs="方正楷体_GBK"/>
              <w:spacing w:val="6"/>
              <w:sz w:val="24"/>
              <w:szCs w:val="24"/>
              <w:highlight w:val="none"/>
              <w:lang w:val="en-US" w:eastAsia="zh-CN" w:bidi="ar"/>
            </w:rPr>
            <w:t>4</w:t>
          </w:r>
          <w:r>
            <w:rPr>
              <w:rFonts w:hint="eastAsia" w:ascii="Times New Roman" w:hAnsi="Times New Roman" w:eastAsia="方正楷体_GBK" w:cs="方正楷体_GBK"/>
              <w:spacing w:val="6"/>
              <w:sz w:val="24"/>
              <w:szCs w:val="24"/>
              <w:highlight w:val="none"/>
              <w:lang w:bidi="ar"/>
            </w:rPr>
            <w:t>年</w:t>
          </w:r>
          <w:r>
            <w:rPr>
              <w:rFonts w:hint="eastAsia" w:ascii="Times New Roman" w:hAnsi="Times New Roman" w:eastAsia="方正楷体_GBK" w:cs="方正楷体_GBK"/>
              <w:spacing w:val="6"/>
              <w:sz w:val="24"/>
              <w:szCs w:val="24"/>
              <w:highlight w:val="none"/>
              <w:lang w:val="en-US" w:eastAsia="zh-CN" w:bidi="ar"/>
            </w:rPr>
            <w:t>04</w:t>
          </w:r>
          <w:r>
            <w:rPr>
              <w:rFonts w:hint="eastAsia" w:ascii="Times New Roman" w:hAnsi="Times New Roman" w:eastAsia="方正楷体_GBK" w:cs="方正楷体_GBK"/>
              <w:spacing w:val="6"/>
              <w:sz w:val="24"/>
              <w:szCs w:val="24"/>
              <w:highlight w:val="none"/>
              <w:lang w:bidi="ar"/>
            </w:rPr>
            <w:t>月）</w:t>
          </w:r>
          <w:r>
            <w:rPr>
              <w:sz w:val="24"/>
              <w:szCs w:val="24"/>
            </w:rPr>
            <w:tab/>
          </w:r>
          <w:r>
            <w:rPr>
              <w:sz w:val="24"/>
              <w:szCs w:val="24"/>
            </w:rPr>
            <w:fldChar w:fldCharType="begin"/>
          </w:r>
          <w:r>
            <w:rPr>
              <w:sz w:val="24"/>
              <w:szCs w:val="24"/>
            </w:rPr>
            <w:instrText xml:space="preserve"> PAGEREF _Toc18015 \h </w:instrText>
          </w:r>
          <w:r>
            <w:rPr>
              <w:sz w:val="24"/>
              <w:szCs w:val="24"/>
            </w:rPr>
            <w:fldChar w:fldCharType="separate"/>
          </w:r>
          <w:r>
            <w:rPr>
              <w:sz w:val="24"/>
              <w:szCs w:val="24"/>
            </w:rPr>
            <w:t>29</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20007E49">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_Toc9585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（二）全面创建阶段（202</w:t>
          </w:r>
          <w:r>
            <w:rPr>
              <w:rFonts w:hint="eastAsia" w:ascii="Times New Roman" w:hAnsi="Times New Roman" w:eastAsia="方正楷体_GBK" w:cs="方正楷体_GBK"/>
              <w:spacing w:val="6"/>
              <w:sz w:val="24"/>
              <w:szCs w:val="24"/>
              <w:highlight w:val="none"/>
              <w:lang w:val="en-US" w:eastAsia="zh-CN" w:bidi="ar"/>
            </w:rPr>
            <w:t>4</w:t>
          </w:r>
          <w:r>
            <w:rPr>
              <w:rFonts w:hint="eastAsia" w:ascii="Times New Roman" w:hAnsi="Times New Roman" w:eastAsia="方正楷体_GBK" w:cs="方正楷体_GBK"/>
              <w:spacing w:val="6"/>
              <w:sz w:val="24"/>
              <w:szCs w:val="24"/>
              <w:highlight w:val="none"/>
              <w:lang w:bidi="ar"/>
            </w:rPr>
            <w:t>年</w:t>
          </w:r>
          <w:r>
            <w:rPr>
              <w:rFonts w:hint="eastAsia" w:ascii="Times New Roman" w:hAnsi="Times New Roman" w:eastAsia="方正楷体_GBK" w:cs="方正楷体_GBK"/>
              <w:spacing w:val="6"/>
              <w:sz w:val="24"/>
              <w:szCs w:val="24"/>
              <w:highlight w:val="none"/>
              <w:lang w:val="en-US" w:eastAsia="zh-CN" w:bidi="ar"/>
            </w:rPr>
            <w:t>05</w:t>
          </w:r>
          <w:r>
            <w:rPr>
              <w:rFonts w:hint="eastAsia" w:ascii="Times New Roman" w:hAnsi="Times New Roman" w:eastAsia="方正楷体_GBK" w:cs="方正楷体_GBK"/>
              <w:spacing w:val="6"/>
              <w:sz w:val="24"/>
              <w:szCs w:val="24"/>
              <w:highlight w:val="none"/>
              <w:lang w:bidi="ar"/>
            </w:rPr>
            <w:t>月—202</w:t>
          </w:r>
          <w:r>
            <w:rPr>
              <w:rFonts w:hint="eastAsia" w:ascii="Times New Roman" w:hAnsi="Times New Roman" w:eastAsia="方正楷体_GBK" w:cs="方正楷体_GBK"/>
              <w:spacing w:val="6"/>
              <w:sz w:val="24"/>
              <w:szCs w:val="24"/>
              <w:highlight w:val="none"/>
              <w:lang w:val="en-US" w:eastAsia="zh-CN" w:bidi="ar"/>
            </w:rPr>
            <w:t>5</w:t>
          </w:r>
          <w:r>
            <w:rPr>
              <w:rFonts w:hint="eastAsia" w:ascii="Times New Roman" w:hAnsi="Times New Roman" w:eastAsia="方正楷体_GBK" w:cs="方正楷体_GBK"/>
              <w:spacing w:val="6"/>
              <w:sz w:val="24"/>
              <w:szCs w:val="24"/>
              <w:highlight w:val="none"/>
              <w:lang w:bidi="ar"/>
            </w:rPr>
            <w:t>年</w:t>
          </w:r>
          <w:r>
            <w:rPr>
              <w:rFonts w:hint="eastAsia" w:ascii="Times New Roman" w:hAnsi="Times New Roman" w:eastAsia="方正楷体_GBK" w:cs="方正楷体_GBK"/>
              <w:spacing w:val="6"/>
              <w:sz w:val="24"/>
              <w:szCs w:val="24"/>
              <w:highlight w:val="none"/>
              <w:lang w:val="en-US" w:eastAsia="zh-CN" w:bidi="ar"/>
            </w:rPr>
            <w:t>12</w:t>
          </w:r>
          <w:r>
            <w:rPr>
              <w:rFonts w:hint="eastAsia" w:ascii="Times New Roman" w:hAnsi="Times New Roman" w:eastAsia="方正楷体_GBK" w:cs="方正楷体_GBK"/>
              <w:spacing w:val="6"/>
              <w:sz w:val="24"/>
              <w:szCs w:val="24"/>
              <w:highlight w:val="none"/>
              <w:lang w:bidi="ar"/>
            </w:rPr>
            <w:t>月）</w:t>
          </w:r>
          <w:r>
            <w:rPr>
              <w:sz w:val="24"/>
              <w:szCs w:val="24"/>
            </w:rPr>
            <w:tab/>
          </w:r>
          <w:r>
            <w:rPr>
              <w:sz w:val="24"/>
              <w:szCs w:val="24"/>
            </w:rPr>
            <w:fldChar w:fldCharType="begin"/>
          </w:r>
          <w:r>
            <w:rPr>
              <w:sz w:val="24"/>
              <w:szCs w:val="24"/>
            </w:rPr>
            <w:instrText xml:space="preserve"> PAGEREF _Toc9585 \h </w:instrText>
          </w:r>
          <w:r>
            <w:rPr>
              <w:sz w:val="24"/>
              <w:szCs w:val="24"/>
            </w:rPr>
            <w:fldChar w:fldCharType="separate"/>
          </w:r>
          <w:r>
            <w:rPr>
              <w:sz w:val="24"/>
              <w:szCs w:val="24"/>
            </w:rPr>
            <w:t>30</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2FDB479E">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_Toc13206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（三）巩固提升阶段（202</w:t>
          </w:r>
          <w:r>
            <w:rPr>
              <w:rFonts w:hint="eastAsia" w:ascii="Times New Roman" w:hAnsi="Times New Roman" w:eastAsia="方正楷体_GBK" w:cs="方正楷体_GBK"/>
              <w:spacing w:val="6"/>
              <w:sz w:val="24"/>
              <w:szCs w:val="24"/>
              <w:highlight w:val="none"/>
              <w:lang w:val="en-US" w:eastAsia="zh-CN" w:bidi="ar"/>
            </w:rPr>
            <w:t>6</w:t>
          </w:r>
          <w:r>
            <w:rPr>
              <w:rFonts w:hint="eastAsia" w:ascii="Times New Roman" w:hAnsi="Times New Roman" w:eastAsia="方正楷体_GBK" w:cs="方正楷体_GBK"/>
              <w:spacing w:val="6"/>
              <w:sz w:val="24"/>
              <w:szCs w:val="24"/>
              <w:highlight w:val="none"/>
              <w:lang w:bidi="ar"/>
            </w:rPr>
            <w:t>年</w:t>
          </w:r>
          <w:r>
            <w:rPr>
              <w:rFonts w:hint="eastAsia" w:ascii="Times New Roman" w:hAnsi="Times New Roman" w:eastAsia="方正楷体_GBK" w:cs="方正楷体_GBK"/>
              <w:spacing w:val="6"/>
              <w:sz w:val="24"/>
              <w:szCs w:val="24"/>
              <w:highlight w:val="none"/>
              <w:lang w:val="en-US" w:eastAsia="zh-CN" w:bidi="ar"/>
            </w:rPr>
            <w:t>01</w:t>
          </w:r>
          <w:r>
            <w:rPr>
              <w:rFonts w:hint="eastAsia" w:ascii="Times New Roman" w:hAnsi="Times New Roman" w:eastAsia="方正楷体_GBK" w:cs="方正楷体_GBK"/>
              <w:spacing w:val="6"/>
              <w:sz w:val="24"/>
              <w:szCs w:val="24"/>
              <w:highlight w:val="none"/>
              <w:lang w:bidi="ar"/>
            </w:rPr>
            <w:t>月—202</w:t>
          </w:r>
          <w:r>
            <w:rPr>
              <w:rFonts w:hint="eastAsia" w:ascii="Times New Roman" w:hAnsi="Times New Roman" w:eastAsia="方正楷体_GBK" w:cs="方正楷体_GBK"/>
              <w:spacing w:val="6"/>
              <w:sz w:val="24"/>
              <w:szCs w:val="24"/>
              <w:highlight w:val="none"/>
              <w:lang w:val="en-US" w:eastAsia="zh-CN" w:bidi="ar"/>
            </w:rPr>
            <w:t>6</w:t>
          </w:r>
          <w:r>
            <w:rPr>
              <w:rFonts w:hint="eastAsia" w:ascii="Times New Roman" w:hAnsi="Times New Roman" w:eastAsia="方正楷体_GBK" w:cs="方正楷体_GBK"/>
              <w:spacing w:val="6"/>
              <w:sz w:val="24"/>
              <w:szCs w:val="24"/>
              <w:highlight w:val="none"/>
              <w:lang w:bidi="ar"/>
            </w:rPr>
            <w:t>年12月）</w:t>
          </w:r>
          <w:r>
            <w:rPr>
              <w:sz w:val="24"/>
              <w:szCs w:val="24"/>
            </w:rPr>
            <w:tab/>
          </w:r>
          <w:r>
            <w:rPr>
              <w:sz w:val="24"/>
              <w:szCs w:val="24"/>
            </w:rPr>
            <w:fldChar w:fldCharType="begin"/>
          </w:r>
          <w:r>
            <w:rPr>
              <w:sz w:val="24"/>
              <w:szCs w:val="24"/>
            </w:rPr>
            <w:instrText xml:space="preserve"> PAGEREF _Toc13206 \h </w:instrText>
          </w:r>
          <w:r>
            <w:rPr>
              <w:sz w:val="24"/>
              <w:szCs w:val="24"/>
            </w:rPr>
            <w:fldChar w:fldCharType="separate"/>
          </w:r>
          <w:r>
            <w:rPr>
              <w:sz w:val="24"/>
              <w:szCs w:val="24"/>
            </w:rPr>
            <w:t>30</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441DEEB7">
          <w:pPr>
            <w:pStyle w:val="17"/>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_Toc30471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黑体_GBK" w:cs="方正黑体_GBK"/>
              <w:sz w:val="24"/>
              <w:szCs w:val="24"/>
              <w:highlight w:val="none"/>
              <w:lang w:val="en-US" w:eastAsia="zh-CN"/>
            </w:rPr>
            <w:t>六</w:t>
          </w:r>
          <w:r>
            <w:rPr>
              <w:rFonts w:hint="eastAsia" w:ascii="Times New Roman" w:hAnsi="Times New Roman" w:eastAsia="方正黑体_GBK" w:cs="方正黑体_GBK"/>
              <w:sz w:val="24"/>
              <w:szCs w:val="24"/>
              <w:highlight w:val="none"/>
            </w:rPr>
            <w:t>、组织保障</w:t>
          </w:r>
          <w:r>
            <w:rPr>
              <w:sz w:val="24"/>
              <w:szCs w:val="24"/>
            </w:rPr>
            <w:tab/>
          </w:r>
          <w:r>
            <w:rPr>
              <w:sz w:val="24"/>
              <w:szCs w:val="24"/>
            </w:rPr>
            <w:fldChar w:fldCharType="begin"/>
          </w:r>
          <w:r>
            <w:rPr>
              <w:sz w:val="24"/>
              <w:szCs w:val="24"/>
            </w:rPr>
            <w:instrText xml:space="preserve"> PAGEREF _Toc30471 \h </w:instrText>
          </w:r>
          <w:r>
            <w:rPr>
              <w:sz w:val="24"/>
              <w:szCs w:val="24"/>
            </w:rPr>
            <w:fldChar w:fldCharType="separate"/>
          </w:r>
          <w:r>
            <w:rPr>
              <w:sz w:val="24"/>
              <w:szCs w:val="24"/>
            </w:rPr>
            <w:t>31</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43ADA7C">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_Toc21321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（一）加强组织领导</w:t>
          </w:r>
          <w:r>
            <w:rPr>
              <w:sz w:val="24"/>
              <w:szCs w:val="24"/>
            </w:rPr>
            <w:tab/>
          </w:r>
          <w:r>
            <w:rPr>
              <w:sz w:val="24"/>
              <w:szCs w:val="24"/>
            </w:rPr>
            <w:fldChar w:fldCharType="begin"/>
          </w:r>
          <w:r>
            <w:rPr>
              <w:sz w:val="24"/>
              <w:szCs w:val="24"/>
            </w:rPr>
            <w:instrText xml:space="preserve"> PAGEREF _Toc21321 \h </w:instrText>
          </w:r>
          <w:r>
            <w:rPr>
              <w:sz w:val="24"/>
              <w:szCs w:val="24"/>
            </w:rPr>
            <w:fldChar w:fldCharType="separate"/>
          </w:r>
          <w:r>
            <w:rPr>
              <w:sz w:val="24"/>
              <w:szCs w:val="24"/>
            </w:rPr>
            <w:t>31</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4C2DFD43">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_Toc14900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（二）强化争资争项</w:t>
          </w:r>
          <w:r>
            <w:rPr>
              <w:sz w:val="24"/>
              <w:szCs w:val="24"/>
            </w:rPr>
            <w:tab/>
          </w:r>
          <w:r>
            <w:rPr>
              <w:sz w:val="24"/>
              <w:szCs w:val="24"/>
            </w:rPr>
            <w:fldChar w:fldCharType="begin"/>
          </w:r>
          <w:r>
            <w:rPr>
              <w:sz w:val="24"/>
              <w:szCs w:val="24"/>
            </w:rPr>
            <w:instrText xml:space="preserve"> PAGEREF _Toc14900 \h </w:instrText>
          </w:r>
          <w:r>
            <w:rPr>
              <w:sz w:val="24"/>
              <w:szCs w:val="24"/>
            </w:rPr>
            <w:fldChar w:fldCharType="separate"/>
          </w:r>
          <w:r>
            <w:rPr>
              <w:sz w:val="24"/>
              <w:szCs w:val="24"/>
            </w:rPr>
            <w:t>31</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AF8239E">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_Toc1041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（三）落实工作责任</w:t>
          </w:r>
          <w:r>
            <w:rPr>
              <w:sz w:val="24"/>
              <w:szCs w:val="24"/>
            </w:rPr>
            <w:tab/>
          </w:r>
          <w:r>
            <w:rPr>
              <w:sz w:val="24"/>
              <w:szCs w:val="24"/>
            </w:rPr>
            <w:fldChar w:fldCharType="begin"/>
          </w:r>
          <w:r>
            <w:rPr>
              <w:sz w:val="24"/>
              <w:szCs w:val="24"/>
            </w:rPr>
            <w:instrText xml:space="preserve"> PAGEREF _Toc1041 \h </w:instrText>
          </w:r>
          <w:r>
            <w:rPr>
              <w:sz w:val="24"/>
              <w:szCs w:val="24"/>
            </w:rPr>
            <w:fldChar w:fldCharType="separate"/>
          </w:r>
          <w:r>
            <w:rPr>
              <w:sz w:val="24"/>
              <w:szCs w:val="24"/>
            </w:rPr>
            <w:t>31</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0B28C64B">
          <w:pPr>
            <w:pStyle w:val="18"/>
            <w:tabs>
              <w:tab w:val="right" w:leader="dot" w:pos="8306"/>
            </w:tabs>
            <w:rPr>
              <w:sz w:val="24"/>
              <w:szCs w:val="24"/>
            </w:rPr>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_Toc5518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楷体_GBK" w:cs="方正楷体_GBK"/>
              <w:spacing w:val="6"/>
              <w:sz w:val="24"/>
              <w:szCs w:val="24"/>
              <w:highlight w:val="none"/>
              <w:lang w:bidi="ar"/>
            </w:rPr>
            <w:t>（四）加强宣传引导</w:t>
          </w:r>
          <w:r>
            <w:rPr>
              <w:sz w:val="24"/>
              <w:szCs w:val="24"/>
            </w:rPr>
            <w:tab/>
          </w:r>
          <w:r>
            <w:rPr>
              <w:sz w:val="24"/>
              <w:szCs w:val="24"/>
            </w:rPr>
            <w:fldChar w:fldCharType="begin"/>
          </w:r>
          <w:r>
            <w:rPr>
              <w:sz w:val="24"/>
              <w:szCs w:val="24"/>
            </w:rPr>
            <w:instrText xml:space="preserve"> PAGEREF _Toc5518 \h </w:instrText>
          </w:r>
          <w:r>
            <w:rPr>
              <w:sz w:val="24"/>
              <w:szCs w:val="24"/>
            </w:rPr>
            <w:fldChar w:fldCharType="separate"/>
          </w:r>
          <w:r>
            <w:rPr>
              <w:sz w:val="24"/>
              <w:szCs w:val="24"/>
            </w:rPr>
            <w:t>32</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328B765B">
          <w:pPr>
            <w:pStyle w:val="17"/>
            <w:tabs>
              <w:tab w:val="right" w:leader="dot" w:pos="8306"/>
            </w:tabs>
          </w:pP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begin"/>
          </w:r>
          <w:r>
            <w:rPr>
              <w:rFonts w:hint="eastAsia" w:ascii="Times New Roman" w:hAnsi="Times New Roman" w:eastAsia="方正小标宋_GBK" w:cs="方正小标宋_GBK"/>
              <w:spacing w:val="6"/>
              <w:sz w:val="24"/>
              <w:szCs w:val="24"/>
              <w:highlight w:val="none"/>
              <w:lang w:bidi="ar"/>
            </w:rPr>
            <w:instrText xml:space="preserve"> HYPERLINK \l _Toc4870 </w:instrText>
          </w:r>
          <w:r>
            <w:rPr>
              <w:rFonts w:hint="eastAsia" w:ascii="Times New Roman" w:hAnsi="Times New Roman" w:eastAsia="方正小标宋_GBK" w:cs="方正小标宋_GBK"/>
              <w:spacing w:val="6"/>
              <w:sz w:val="24"/>
              <w:szCs w:val="24"/>
              <w:highlight w:val="none"/>
              <w:lang w:bidi="ar"/>
            </w:rPr>
            <w:fldChar w:fldCharType="separate"/>
          </w:r>
          <w:r>
            <w:rPr>
              <w:rFonts w:hint="eastAsia" w:ascii="Times New Roman" w:hAnsi="Times New Roman" w:eastAsia="方正黑体_GBK" w:cs="方正黑体_GBK"/>
              <w:bCs w:val="0"/>
              <w:sz w:val="24"/>
              <w:szCs w:val="24"/>
              <w:highlight w:val="none"/>
              <w:lang w:val="en-US" w:eastAsia="zh-CN"/>
            </w:rPr>
            <w:t>附件</w:t>
          </w:r>
          <w:r>
            <w:rPr>
              <w:sz w:val="24"/>
              <w:szCs w:val="24"/>
            </w:rPr>
            <w:tab/>
          </w:r>
          <w:r>
            <w:rPr>
              <w:sz w:val="24"/>
              <w:szCs w:val="24"/>
            </w:rPr>
            <w:fldChar w:fldCharType="begin"/>
          </w:r>
          <w:r>
            <w:rPr>
              <w:sz w:val="24"/>
              <w:szCs w:val="24"/>
            </w:rPr>
            <w:instrText xml:space="preserve"> PAGEREF _Toc4870 \h </w:instrText>
          </w:r>
          <w:r>
            <w:rPr>
              <w:sz w:val="24"/>
              <w:szCs w:val="24"/>
            </w:rPr>
            <w:fldChar w:fldCharType="separate"/>
          </w:r>
          <w:r>
            <w:rPr>
              <w:sz w:val="24"/>
              <w:szCs w:val="24"/>
            </w:rPr>
            <w:t>33</w:t>
          </w:r>
          <w:r>
            <w:rPr>
              <w:sz w:val="24"/>
              <w:szCs w:val="24"/>
            </w:rPr>
            <w:fldChar w:fldCharType="end"/>
          </w:r>
          <w:r>
            <w:rPr>
              <w:rFonts w:hint="eastAsia" w:ascii="Times New Roman" w:hAnsi="Times New Roman" w:eastAsia="方正小标宋_GBK" w:cs="方正小标宋_GBK"/>
              <w:color w:val="000000" w:themeColor="text1"/>
              <w:spacing w:val="6"/>
              <w:sz w:val="24"/>
              <w:szCs w:val="24"/>
              <w:highlight w:val="none"/>
              <w:lang w:bidi="ar"/>
              <w14:textFill>
                <w14:solidFill>
                  <w14:schemeClr w14:val="tx1"/>
                </w14:solidFill>
              </w14:textFill>
            </w:rPr>
            <w:fldChar w:fldCharType="end"/>
          </w:r>
        </w:p>
        <w:p w14:paraId="2B2EA262">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9"/>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r>
            <w:rPr>
              <w:rFonts w:hint="eastAsia" w:ascii="Times New Roman" w:hAnsi="Times New Roman" w:eastAsia="方正小标宋_GBK" w:cs="方正小标宋_GBK"/>
              <w:color w:val="000000" w:themeColor="text1"/>
              <w:spacing w:val="6"/>
              <w:szCs w:val="32"/>
              <w:highlight w:val="none"/>
              <w:lang w:bidi="ar"/>
              <w14:textFill>
                <w14:solidFill>
                  <w14:schemeClr w14:val="tx1"/>
                </w14:solidFill>
              </w14:textFill>
            </w:rPr>
            <w:fldChar w:fldCharType="end"/>
          </w:r>
        </w:p>
      </w:sdtContent>
    </w:sdt>
    <w:p w14:paraId="0AED3CA6">
      <w:pPr>
        <w:bidi w:val="0"/>
        <w:rPr>
          <w:rFonts w:hint="eastAsia" w:ascii="Times New Roman" w:hAnsi="Times New Roman"/>
          <w:color w:val="000000" w:themeColor="text1"/>
          <w:lang w:val="en-US" w:eastAsia="zh-CN"/>
          <w14:textFill>
            <w14:solidFill>
              <w14:schemeClr w14:val="tx1"/>
            </w14:solidFill>
          </w14:textFill>
        </w:rPr>
      </w:pPr>
    </w:p>
    <w:p w14:paraId="4DB66E2F">
      <w:pPr>
        <w:tabs>
          <w:tab w:val="left" w:pos="684"/>
        </w:tabs>
        <w:bidi w:val="0"/>
        <w:jc w:val="left"/>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sectPr>
          <w:headerReference r:id="rId7" w:type="default"/>
          <w:footerReference r:id="rId8" w:type="default"/>
          <w:pgSz w:w="11906" w:h="16838"/>
          <w:pgMar w:top="1440" w:right="1800" w:bottom="1440" w:left="1800" w:header="851" w:footer="992" w:gutter="0"/>
          <w:pgNumType w:fmt="upperRoman" w:start="1"/>
          <w:cols w:space="0" w:num="1"/>
          <w:rtlGutter w:val="0"/>
          <w:docGrid w:linePitch="312" w:charSpace="0"/>
        </w:sectPr>
      </w:pPr>
    </w:p>
    <w:p w14:paraId="3E0330A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r>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t>乌拉特</w:t>
      </w:r>
      <w:r>
        <w:rPr>
          <w:rFonts w:hint="eastAsia" w:ascii="Times New Roman" w:hAnsi="Times New Roman" w:eastAsia="方正小标宋_GBK" w:cs="方正小标宋_GBK"/>
          <w:color w:val="000000" w:themeColor="text1"/>
          <w:spacing w:val="6"/>
          <w:sz w:val="44"/>
          <w:szCs w:val="44"/>
          <w:highlight w:val="none"/>
          <w:lang w:val="en-US" w:eastAsia="zh-CN" w:bidi="ar"/>
          <w14:textFill>
            <w14:solidFill>
              <w14:schemeClr w14:val="tx1"/>
            </w14:solidFill>
          </w14:textFill>
        </w:rPr>
        <w:t>中旗</w:t>
      </w:r>
      <w:r>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t>人民政府</w:t>
      </w:r>
    </w:p>
    <w:p w14:paraId="069FC70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pPr>
      <w:r>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t>巴音乌兰苏木</w:t>
      </w:r>
      <w:r>
        <w:rPr>
          <w:rFonts w:hint="eastAsia" w:ascii="Times New Roman" w:hAnsi="Times New Roman" w:eastAsia="方正小标宋_GBK" w:cs="方正小标宋_GBK"/>
          <w:color w:val="000000" w:themeColor="text1"/>
          <w:spacing w:val="6"/>
          <w:sz w:val="44"/>
          <w:szCs w:val="44"/>
          <w:highlight w:val="none"/>
          <w:lang w:eastAsia="zh-CN" w:bidi="ar"/>
          <w14:textFill>
            <w14:solidFill>
              <w14:schemeClr w14:val="tx1"/>
            </w14:solidFill>
          </w14:textFill>
        </w:rPr>
        <w:t>“</w:t>
      </w:r>
      <w:r>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t>一镇一品</w:t>
      </w:r>
      <w:r>
        <w:rPr>
          <w:rFonts w:hint="eastAsia" w:ascii="Times New Roman" w:hAnsi="Times New Roman" w:eastAsia="方正小标宋_GBK" w:cs="方正小标宋_GBK"/>
          <w:color w:val="000000" w:themeColor="text1"/>
          <w:spacing w:val="6"/>
          <w:sz w:val="44"/>
          <w:szCs w:val="44"/>
          <w:highlight w:val="none"/>
          <w:lang w:eastAsia="zh-CN" w:bidi="ar"/>
          <w14:textFill>
            <w14:solidFill>
              <w14:schemeClr w14:val="tx1"/>
            </w14:solidFill>
          </w14:textFill>
        </w:rPr>
        <w:t>”</w:t>
      </w:r>
      <w:r>
        <w:rPr>
          <w:rFonts w:hint="eastAsia" w:ascii="Times New Roman" w:hAnsi="Times New Roman" w:eastAsia="方正小标宋_GBK" w:cs="方正小标宋_GBK"/>
          <w:color w:val="000000" w:themeColor="text1"/>
          <w:spacing w:val="6"/>
          <w:sz w:val="44"/>
          <w:szCs w:val="44"/>
          <w:highlight w:val="none"/>
          <w:lang w:bidi="ar"/>
          <w14:textFill>
            <w14:solidFill>
              <w14:schemeClr w14:val="tx1"/>
            </w14:solidFill>
          </w14:textFill>
        </w:rPr>
        <w:t>特色产业规划</w:t>
      </w:r>
    </w:p>
    <w:p w14:paraId="077F057D">
      <w:pPr>
        <w:spacing w:line="560" w:lineRule="exact"/>
        <w:ind w:firstLine="640" w:firstLineChars="200"/>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pPr>
    </w:p>
    <w:p w14:paraId="7A156FDC">
      <w:pPr>
        <w:spacing w:line="560" w:lineRule="exact"/>
        <w:ind w:firstLine="640" w:firstLineChars="200"/>
        <w:rPr>
          <w:rFonts w:hint="eastAsia" w:ascii="Times New Roman" w:hAnsi="Times New Roman" w:eastAsia="方正仿宋_GBK" w:cs="方正仿宋_GBK"/>
          <w:color w:val="000000" w:themeColor="text1"/>
          <w:sz w:val="32"/>
          <w:szCs w:val="32"/>
          <w:highlight w:val="yellow"/>
          <w:lang w:bidi="zh-CN"/>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为深入贯彻落实习近平总书记在马文化、马精神、马产业上的重要指示精神，</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落实</w:t>
      </w:r>
      <w:r>
        <w:rPr>
          <w:rFonts w:hint="eastAsia" w:cs="方正仿宋_GBK"/>
          <w:color w:val="000000" w:themeColor="text1"/>
          <w:sz w:val="32"/>
          <w:szCs w:val="32"/>
          <w:highlight w:val="none"/>
          <w:lang w:val="en-US" w:bidi="zh-CN"/>
          <w14:textFill>
            <w14:solidFill>
              <w14:schemeClr w14:val="tx1"/>
            </w14:solidFill>
          </w14:textFill>
        </w:rPr>
        <w:t>旗委、旗政府</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“以工业化思维发展现代农牧业”的决策部署，</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加快巴音乌兰“乌拉特马”产业转型升级，由传统马产业向现代马产业转变，</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根据《全国马产业发展规划（2020-2025）》《农业农村部关于加快农业全产业链培育发展的指导意见》《农业农村部关于开展国家现代农业全产业链标准化示范基地创建的通知》《内蒙古自治区关于促进现代马产业发展的若干意见》《</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内蒙古</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现代马产业发展重点项目实施方案》等文件要求，</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基于巴音乌兰</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马业资源与产业优势</w:t>
      </w:r>
      <w:r>
        <w:rPr>
          <w:rFonts w:hint="eastAsia" w:ascii="Times New Roman" w:hAnsi="Times New Roman" w:eastAsia="方正仿宋_GBK" w:cs="方正仿宋_GBK"/>
          <w:color w:val="000000" w:themeColor="text1"/>
          <w:sz w:val="32"/>
          <w:szCs w:val="32"/>
          <w:highlight w:val="none"/>
          <w:lang w:val="en-US" w:eastAsia="zh-CN" w:bidi="zh-CN"/>
          <w14:textFill>
            <w14:solidFill>
              <w14:schemeClr w14:val="tx1"/>
            </w14:solidFill>
          </w14:textFill>
        </w:rPr>
        <w:t>，编制本规划。本规划以2024年为基期，规划期为2024</w:t>
      </w:r>
      <w:r>
        <w:rPr>
          <w:rFonts w:hint="eastAsia" w:cs="方正仿宋_GBK"/>
          <w:color w:val="000000" w:themeColor="text1"/>
          <w:sz w:val="32"/>
          <w:szCs w:val="32"/>
          <w:highlight w:val="none"/>
          <w:lang w:val="en-US" w:eastAsia="zh-CN" w:bidi="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lang w:val="en-US" w:eastAsia="zh-CN" w:bidi="zh-CN"/>
          <w14:textFill>
            <w14:solidFill>
              <w14:schemeClr w14:val="tx1"/>
            </w14:solidFill>
          </w14:textFill>
        </w:rPr>
        <w:t>2026年。</w:t>
      </w:r>
    </w:p>
    <w:p w14:paraId="40B2A4C8">
      <w:pPr>
        <w:spacing w:line="560" w:lineRule="exact"/>
        <w:ind w:firstLine="640" w:firstLineChars="200"/>
        <w:outlineLvl w:val="0"/>
        <w:rPr>
          <w:rFonts w:ascii="Times New Roman" w:hAnsi="Times New Roman" w:eastAsia="方正黑体_GBK" w:cs="方正黑体_GBK"/>
          <w:color w:val="000000" w:themeColor="text1"/>
          <w:sz w:val="32"/>
          <w:szCs w:val="32"/>
          <w:highlight w:val="none"/>
          <w14:textFill>
            <w14:solidFill>
              <w14:schemeClr w14:val="tx1"/>
            </w14:solidFill>
          </w14:textFill>
        </w:rPr>
      </w:pPr>
      <w:bookmarkStart w:id="1" w:name="_Toc24985"/>
      <w:bookmarkStart w:id="2" w:name="_Toc7485"/>
      <w:bookmarkStart w:id="3" w:name="_Toc10657"/>
      <w:bookmarkStart w:id="4" w:name="_Toc29952"/>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一、产业定位</w:t>
      </w:r>
      <w:bookmarkEnd w:id="1"/>
      <w:bookmarkEnd w:id="2"/>
      <w:bookmarkEnd w:id="3"/>
      <w:bookmarkEnd w:id="4"/>
    </w:p>
    <w:p w14:paraId="3763CB96">
      <w:pPr>
        <w:widowControl w:val="0"/>
        <w:spacing w:line="560" w:lineRule="exact"/>
        <w:ind w:left="0" w:firstLine="640" w:firstLineChars="200"/>
        <w:jc w:val="both"/>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pP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依托</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乌拉特马</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及亚高原资源优势，结合乌拉特中旗草原戈壁风光、阴山风貌等旅游资源，厚植</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巴音乌兰</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马产业发展基础，</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按照“一产打基础、二产上水平、三产大发展”总要求，统筹推进高质量发展现代马产业建设，加强现代马产业全产业链建设，打造一条具有乌拉特特色的马产业发展道路。夯实一产打基础，发展繁育马业、产品马业、提质增效，带动农牧民增收；促进二产上水平，大力发展马肉、马乳、马药膳、</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马匹装备、</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化妆品、</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饲料兽药</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等产品加工业，打造现代马产业中轴；推动三产大发展，发展马文化旅游、竞技赛马、体育赛事产业，积极创新“乌拉特马”产业经济发展中的价值。努力将巴音乌兰建设成为</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集种马繁育、</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产品</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加工、体育赛事、</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文化</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旅游、节庆活动于一体的</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马特色牧文旅</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综合体，积极创建中蒙边境</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牧文旅</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融合发展示范区。</w:t>
      </w:r>
    </w:p>
    <w:p w14:paraId="4957F7E5">
      <w:pPr>
        <w:spacing w:line="560" w:lineRule="exact"/>
        <w:ind w:firstLine="640" w:firstLineChars="200"/>
        <w:outlineLvl w:val="0"/>
        <w:rPr>
          <w:rFonts w:ascii="Times New Roman" w:hAnsi="Times New Roman" w:eastAsia="方正黑体_GBK" w:cs="方正黑体_GBK"/>
          <w:color w:val="000000" w:themeColor="text1"/>
          <w:sz w:val="32"/>
          <w:szCs w:val="32"/>
          <w:highlight w:val="none"/>
          <w14:textFill>
            <w14:solidFill>
              <w14:schemeClr w14:val="tx1"/>
            </w14:solidFill>
          </w14:textFill>
        </w:rPr>
      </w:pPr>
      <w:bookmarkStart w:id="5" w:name="_Toc19751"/>
      <w:bookmarkStart w:id="6" w:name="_Toc1762"/>
      <w:bookmarkStart w:id="7" w:name="_Toc11973"/>
      <w:bookmarkStart w:id="8" w:name="_Toc10193"/>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二、目标任务</w:t>
      </w:r>
      <w:bookmarkEnd w:id="5"/>
      <w:bookmarkEnd w:id="6"/>
      <w:bookmarkEnd w:id="7"/>
      <w:bookmarkEnd w:id="8"/>
    </w:p>
    <w:p w14:paraId="2B18F735">
      <w:pPr>
        <w:spacing w:line="560" w:lineRule="exact"/>
        <w:ind w:firstLine="640" w:firstLineChars="200"/>
        <w:rPr>
          <w:rFonts w:hint="default" w:ascii="Times New Roman" w:hAnsi="Times New Roman" w:eastAsia="方正仿宋_GBK" w:cs="方正仿宋_GBK"/>
          <w:color w:val="000000" w:themeColor="text1"/>
          <w:sz w:val="32"/>
          <w:szCs w:val="32"/>
          <w:highlight w:val="none"/>
          <w:lang w:val="en-US" w:bidi="zh-CN"/>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按照旗委政府“一镇一品”总体发展导向，以“加工”“品牌”为核心的工作要求，</w:t>
      </w:r>
      <w:r>
        <w:rPr>
          <w:rFonts w:hint="eastAsia" w:cs="方正仿宋_GBK"/>
          <w:color w:val="000000" w:themeColor="text1"/>
          <w:sz w:val="32"/>
          <w:szCs w:val="32"/>
          <w:highlight w:val="none"/>
          <w:lang w:val="en-US" w:bidi="zh-CN"/>
          <w14:textFill>
            <w14:solidFill>
              <w14:schemeClr w14:val="tx1"/>
            </w14:solidFill>
          </w14:textFill>
        </w:rPr>
        <w:t>依托</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巴音乌兰</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马产业文化底蕴深厚的实际，</w:t>
      </w:r>
      <w:r>
        <w:rPr>
          <w:rFonts w:hint="eastAsia" w:cs="方正仿宋_GBK"/>
          <w:color w:val="000000" w:themeColor="text1"/>
          <w:sz w:val="32"/>
          <w:szCs w:val="32"/>
          <w:highlight w:val="none"/>
          <w:lang w:val="en-US" w:bidi="zh-CN"/>
          <w14:textFill>
            <w14:solidFill>
              <w14:schemeClr w14:val="tx1"/>
            </w14:solidFill>
          </w14:textFill>
        </w:rPr>
        <w:t>结合“一村一品”庭院经济特色产业建设，</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以发展现代马产业为目标，创建“乌拉特马”品牌，立足马产业全链条建设，打造一二三产融合发展的“乌拉特马”牧文旅综合体。以“乌拉特马”品种保育做支撑，马良种繁育做示范，马专业合作社和农牧民生产为基础，马产品研发上规模，马竞技赛事、</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体育赛事</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为牵引，马文化旅游</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和节庆活动</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为重点，</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初步</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形成</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集</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育马养殖、教育科研、疫病防控、调教训练、产品加工、赛马赛事、</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运动竞技</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、马业数据、文化旅游、娱乐休闲为一体</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的</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现代马产业链。</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力争到2026年，马的基础设施建设逐步完善，</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育成1</w:t>
      </w:r>
      <w:r>
        <w:rPr>
          <w:rFonts w:hint="eastAsia" w:cs="方正仿宋_GBK"/>
          <w:color w:val="000000" w:themeColor="text1"/>
          <w:sz w:val="32"/>
          <w:szCs w:val="32"/>
          <w:highlight w:val="none"/>
          <w:lang w:bidi="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2个品种，培育1</w:t>
      </w:r>
      <w:r>
        <w:rPr>
          <w:rFonts w:hint="eastAsia" w:cs="方正仿宋_GBK"/>
          <w:color w:val="000000" w:themeColor="text1"/>
          <w:sz w:val="32"/>
          <w:szCs w:val="32"/>
          <w:highlight w:val="none"/>
          <w:lang w:bidi="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2个“链主”企业，打造2个以上知名产品品牌，一二三产业基本</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达到</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55%、15%、30%的合理配置比例，马产业就业人数达600人以上，</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农牧民在马产业收入和生活水平上显著提高，传统马产业向现代马产业转型发展取得显著成效。</w:t>
      </w:r>
    </w:p>
    <w:p w14:paraId="477BD7EC">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outlineLvl w:val="0"/>
        <w:rPr>
          <w:rFonts w:ascii="Times New Roman" w:hAnsi="Times New Roman" w:eastAsia="方正黑体_GBK" w:cs="方正黑体_GBK"/>
          <w:color w:val="000000" w:themeColor="text1"/>
          <w:sz w:val="32"/>
          <w:szCs w:val="32"/>
          <w:highlight w:val="none"/>
          <w14:textFill>
            <w14:solidFill>
              <w14:schemeClr w14:val="tx1"/>
            </w14:solidFill>
          </w14:textFill>
        </w:rPr>
      </w:pPr>
      <w:bookmarkStart w:id="9" w:name="_Toc16341"/>
      <w:bookmarkStart w:id="10" w:name="_Toc27001"/>
      <w:bookmarkStart w:id="11" w:name="_Toc16555"/>
      <w:bookmarkStart w:id="12" w:name="_Toc6061"/>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三、</w:t>
      </w:r>
      <w:r>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t>规划</w:t>
      </w: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布局</w:t>
      </w:r>
      <w:bookmarkEnd w:id="9"/>
      <w:bookmarkEnd w:id="10"/>
      <w:bookmarkEnd w:id="11"/>
      <w:bookmarkEnd w:id="12"/>
    </w:p>
    <w:p w14:paraId="51A1B4E0">
      <w:pPr>
        <w:overflowPunct w:val="0"/>
        <w:spacing w:line="560" w:lineRule="exact"/>
        <w:ind w:firstLine="664" w:firstLineChars="200"/>
        <w:outlineLvl w:val="1"/>
        <w:rPr>
          <w:rFonts w:hint="default"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pPr>
      <w:bookmarkStart w:id="13" w:name="_Toc10755"/>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（一）“一镇一品”特色产业布局</w:t>
      </w:r>
      <w:bookmarkEnd w:id="13"/>
    </w:p>
    <w:p w14:paraId="561D58C7">
      <w:pPr>
        <w:keepNext w:val="0"/>
        <w:keepLines w:val="0"/>
        <w:pageBreakBefore w:val="0"/>
        <w:widowControl w:val="0"/>
        <w:kinsoku/>
        <w:wordWrap/>
        <w:overflowPunct w:val="0"/>
        <w:topLinePunct w:val="0"/>
        <w:autoSpaceDE/>
        <w:autoSpaceDN/>
        <w:bidi w:val="0"/>
        <w:adjustRightInd/>
        <w:snapToGrid/>
        <w:spacing w:line="560" w:lineRule="exact"/>
        <w:ind w:firstLine="664" w:firstLineChars="200"/>
        <w:textAlignment w:val="auto"/>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两高一精神</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“两高”</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指立足自身资源禀赋，培育创新活跃、带动效应突出的项目、平台和产业集群，积极把巴音乌兰建设成为马产业发展高地、北疆牧文旅高地。</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“一精神”</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指积极发挥“乌拉特马精神”，即吃苦耐劳的奉献精神、一往无前的进取精神、不达目的决不罢休的奋斗精神。积极推动“马产业发展高地”和“北疆牧文旅高地”与“乌拉特马精神”的深入融合，实现“乌拉特马”产业的高质量发展。</w:t>
      </w:r>
    </w:p>
    <w:p w14:paraId="2D92B0A5">
      <w:pPr>
        <w:keepNext w:val="0"/>
        <w:keepLines w:val="0"/>
        <w:pageBreakBefore w:val="0"/>
        <w:widowControl w:val="0"/>
        <w:kinsoku/>
        <w:wordWrap/>
        <w:overflowPunct w:val="0"/>
        <w:topLinePunct w:val="0"/>
        <w:autoSpaceDE/>
        <w:autoSpaceDN/>
        <w:bidi w:val="0"/>
        <w:adjustRightInd/>
        <w:snapToGrid/>
        <w:spacing w:line="560" w:lineRule="exact"/>
        <w:ind w:firstLine="664" w:firstLineChars="200"/>
        <w:textAlignment w:val="auto"/>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pP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空间布局</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。抓点带面、互为支撑、多方发力，</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按照</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一轴</w:t>
      </w:r>
      <w:r>
        <w:rPr>
          <w:rFonts w:hint="eastAsia" w:ascii="Times New Roman" w:hAnsi="Times New Roman" w:eastAsia="仿宋" w:cs="仿宋"/>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三区</w:t>
      </w:r>
      <w:r>
        <w:rPr>
          <w:rFonts w:hint="eastAsia" w:ascii="Times New Roman" w:hAnsi="Times New Roman" w:eastAsia="仿宋" w:cs="仿宋"/>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一基地</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空间</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布局，</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积极</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推进</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乌拉特马</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产业</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高质量</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发展。其中，</w:t>
      </w:r>
      <w:r>
        <w:rPr>
          <w:rFonts w:hint="eastAsia" w:ascii="Times New Roman" w:hAnsi="Times New Roman" w:eastAsia="方正仿宋_GBK" w:cs="方正仿宋_GBK"/>
          <w:b/>
          <w:bCs/>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一轴</w:t>
      </w:r>
      <w:r>
        <w:rPr>
          <w:rFonts w:hint="eastAsia" w:ascii="Times New Roman" w:hAnsi="Times New Roman" w:eastAsia="方正仿宋_GBK" w:cs="方正仿宋_GBK"/>
          <w:b/>
          <w:bCs/>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是以巴音宝日嘎查、乌兰格日乐嘎查、努和日乐嘎查、乌兰温都尔嘎查为中轴形成马产业发展驱动轴，建设</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“乌拉特马”保种育种基地、良种马繁育场、</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巴音乌兰马医院、马业加工产业园、</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文化博物馆</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、马文化旅游体验基地</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等</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设施场地</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辐射带动</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整个巴音乌兰苏木发展</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三区</w:t>
      </w:r>
      <w:r>
        <w:rPr>
          <w:rFonts w:hint="eastAsia" w:ascii="Times New Roman" w:hAnsi="Times New Roman" w:eastAsia="方正仿宋_GBK" w:cs="方正仿宋_GBK"/>
          <w:b/>
          <w:bCs/>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是通过马产业</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发展</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驱动轴建设，</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打造</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中蒙边境</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牧文旅</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融合发展示范区、马文化体验旅游示范区、竞技体育体验旅游示范区；</w:t>
      </w:r>
      <w:r>
        <w:rPr>
          <w:rFonts w:hint="eastAsia" w:ascii="Times New Roman" w:hAnsi="Times New Roman" w:eastAsia="方正仿宋_GBK" w:cs="方正仿宋_GBK"/>
          <w:b/>
          <w:bCs/>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一基地</w:t>
      </w:r>
      <w:r>
        <w:rPr>
          <w:rFonts w:hint="eastAsia" w:ascii="Times New Roman" w:hAnsi="Times New Roman" w:eastAsia="方正仿宋_GBK" w:cs="方正仿宋_GBK"/>
          <w:b/>
          <w:bCs/>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是指</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在核心镇区</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建设</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一处</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以国际搏克、射箭、马术、足球、山地马拉松、定向越野、铁人三项等重点的亚高原体育竞技训练基地</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p>
    <w:p w14:paraId="4257DDA9">
      <w:pPr>
        <w:overflowPunct w:val="0"/>
        <w:spacing w:line="240" w:lineRule="auto"/>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pP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drawing>
          <wp:inline distT="0" distB="0" distL="114300" distR="114300">
            <wp:extent cx="5270500" cy="3727450"/>
            <wp:effectExtent l="0" t="0" r="0" b="6350"/>
            <wp:docPr id="34" name="图片 34" descr="6846db2ef0595fb3a90e7880832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6846db2ef0595fb3a90e78808323453"/>
                    <pic:cNvPicPr>
                      <a:picLocks noChangeAspect="1"/>
                    </pic:cNvPicPr>
                  </pic:nvPicPr>
                  <pic:blipFill>
                    <a:blip r:embed="rId13"/>
                    <a:stretch>
                      <a:fillRect/>
                    </a:stretch>
                  </pic:blipFill>
                  <pic:spPr>
                    <a:xfrm>
                      <a:off x="0" y="0"/>
                      <a:ext cx="5270500" cy="3727450"/>
                    </a:xfrm>
                    <a:prstGeom prst="rect">
                      <a:avLst/>
                    </a:prstGeom>
                  </pic:spPr>
                </pic:pic>
              </a:graphicData>
            </a:graphic>
          </wp:inline>
        </w:drawing>
      </w:r>
    </w:p>
    <w:p w14:paraId="63548D6E">
      <w:pPr>
        <w:pStyle w:val="10"/>
        <w:bidi w:val="0"/>
        <w:spacing w:line="240" w:lineRule="auto"/>
        <w:ind w:left="0" w:leftChars="0" w:firstLine="0" w:firstLineChars="0"/>
        <w:jc w:val="cente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color w:val="000000" w:themeColor="text1"/>
          <w:sz w:val="28"/>
          <w:szCs w:val="40"/>
          <w:highlight w:val="none"/>
          <w14:textFill>
            <w14:solidFill>
              <w14:schemeClr w14:val="tx1"/>
            </w14:solidFill>
          </w14:textFill>
        </w:rPr>
        <w:t>图</w:t>
      </w:r>
      <w:r>
        <w:rPr>
          <w:rFonts w:hint="eastAsia" w:ascii="Times New Roman" w:hAnsi="Times New Roman" w:eastAsia="方正仿宋_GBK" w:cs="方正仿宋_GBK"/>
          <w:b/>
          <w:bCs/>
          <w:color w:val="000000" w:themeColor="text1"/>
          <w:sz w:val="28"/>
          <w:szCs w:val="40"/>
          <w:highlight w:val="none"/>
          <w:lang w:eastAsia="zh-CN"/>
          <w14:textFill>
            <w14:solidFill>
              <w14:schemeClr w14:val="tx1"/>
            </w14:solidFill>
          </w14:textFill>
        </w:rPr>
        <w:t>1</w:t>
      </w:r>
      <w:r>
        <w:rPr>
          <w:rFonts w:hint="eastAsia" w:ascii="Times New Roman" w:hAnsi="Times New Roman" w:eastAsia="方正仿宋_GBK" w:cs="方正仿宋_GBK"/>
          <w:b/>
          <w:bCs/>
          <w:color w:val="000000" w:themeColor="text1"/>
          <w:sz w:val="28"/>
          <w:szCs w:val="40"/>
          <w:highlight w:val="none"/>
          <w:lang w:val="en-US" w:eastAsia="zh-CN"/>
          <w14:textFill>
            <w14:solidFill>
              <w14:schemeClr w14:val="tx1"/>
            </w14:solidFill>
          </w14:textFill>
        </w:rPr>
        <w:t xml:space="preserve">  巴音乌兰“乌拉特马”产业项目</w:t>
      </w:r>
      <w:r>
        <w:rPr>
          <w:rFonts w:hint="eastAsia" w:ascii="Times New Roman" w:hAnsi="Times New Roman" w:eastAsia="方正仿宋_GBK" w:cs="方正仿宋_GBK"/>
          <w:b/>
          <w:bCs/>
          <w:color w:val="000000" w:themeColor="text1"/>
          <w:sz w:val="28"/>
          <w:szCs w:val="40"/>
          <w:highlight w:val="none"/>
          <w:lang w:eastAsia="zh-CN"/>
          <w14:textFill>
            <w14:solidFill>
              <w14:schemeClr w14:val="tx1"/>
            </w14:solidFill>
          </w14:textFill>
        </w:rPr>
        <w:t>功能分区图</w:t>
      </w:r>
    </w:p>
    <w:p w14:paraId="2364ECC4">
      <w:pPr>
        <w:keepNext w:val="0"/>
        <w:keepLines w:val="0"/>
        <w:pageBreakBefore w:val="0"/>
        <w:widowControl w:val="0"/>
        <w:kinsoku/>
        <w:wordWrap/>
        <w:overflowPunct w:val="0"/>
        <w:topLinePunct w:val="0"/>
        <w:autoSpaceDE/>
        <w:autoSpaceDN/>
        <w:bidi w:val="0"/>
        <w:adjustRightInd/>
        <w:snapToGrid/>
        <w:spacing w:line="560" w:lineRule="exact"/>
        <w:ind w:firstLine="664" w:firstLineChars="200"/>
        <w:textAlignment w:val="auto"/>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产业布局</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。根据“一镇一品”产业定位，围绕</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一轴</w:t>
      </w:r>
      <w:r>
        <w:rPr>
          <w:rFonts w:hint="eastAsia" w:ascii="Times New Roman" w:hAnsi="Times New Roman" w:eastAsia="仿宋" w:cs="仿宋"/>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三区</w:t>
      </w:r>
      <w:r>
        <w:rPr>
          <w:rFonts w:hint="eastAsia" w:ascii="Times New Roman" w:hAnsi="Times New Roman" w:eastAsia="仿宋" w:cs="仿宋"/>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一基地</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空间</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布局</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依托</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乌拉特马</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w:t>
      </w:r>
      <w:r>
        <w:rPr>
          <w:rFonts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及亚高原资源优势，</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以现代马产业发展需求为框架，对育马业、产品马业、马产品加工业、马文化旅游业、马竞体育业进行产业布局，统筹</w:t>
      </w:r>
      <w:r>
        <w:rPr>
          <w:rFonts w:hint="eastAsia" w:cs="方正仿宋_GBK"/>
          <w:color w:val="000000" w:themeColor="text1"/>
          <w:kern w:val="2"/>
          <w:sz w:val="32"/>
          <w:szCs w:val="32"/>
          <w:highlight w:val="none"/>
          <w:lang w:val="en-US" w:eastAsia="zh-CN" w:bidi="zh-CN"/>
          <w14:textFill>
            <w14:solidFill>
              <w14:schemeClr w14:val="tx1"/>
            </w14:solidFill>
          </w14:textFill>
        </w:rPr>
        <w:t>一、二、三产业</w:t>
      </w:r>
      <w:r>
        <w:rPr>
          <w:rFonts w:hint="eastAsia" w:ascii="Times New Roman" w:hAnsi="Times New Roman" w:eastAsia="方正仿宋_GBK" w:cs="方正仿宋_GBK"/>
          <w:color w:val="000000" w:themeColor="text1"/>
          <w:kern w:val="2"/>
          <w:sz w:val="32"/>
          <w:szCs w:val="32"/>
          <w:highlight w:val="none"/>
          <w:lang w:val="en-US" w:eastAsia="zh-CN" w:bidi="zh-CN"/>
          <w14:textFill>
            <w14:solidFill>
              <w14:schemeClr w14:val="tx1"/>
            </w14:solidFill>
          </w14:textFill>
        </w:rPr>
        <w:t>发展，展开全方面、立体化的产业布局，加快推进“乌拉特马”产业向现代化马产业转型升级。</w:t>
      </w:r>
    </w:p>
    <w:p w14:paraId="66A8631C">
      <w:pPr>
        <w:keepNext w:val="0"/>
        <w:keepLines w:val="0"/>
        <w:pageBreakBefore w:val="0"/>
        <w:widowControl w:val="0"/>
        <w:kinsoku/>
        <w:wordWrap/>
        <w:overflowPunct w:val="0"/>
        <w:topLinePunct w:val="0"/>
        <w:autoSpaceDE/>
        <w:autoSpaceDN/>
        <w:bidi w:val="0"/>
        <w:adjustRightInd/>
        <w:snapToGrid/>
        <w:spacing w:line="560" w:lineRule="exact"/>
        <w:ind w:firstLine="667" w:firstLineChars="200"/>
        <w:textAlignment w:val="auto"/>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bCs/>
          <w:color w:val="000000" w:themeColor="text1"/>
          <w:sz w:val="32"/>
          <w:szCs w:val="32"/>
          <w:highlight w:val="none"/>
          <w:lang w:val="en-US" w:eastAsia="zh-CN"/>
          <w14:textFill>
            <w14:solidFill>
              <w14:schemeClr w14:val="tx1"/>
            </w14:solidFill>
          </w14:textFill>
        </w:rPr>
        <w:t>一产</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：育马业和产品马业</w:t>
      </w:r>
      <w:r>
        <w:rPr>
          <w:rFonts w:hint="eastAsia" w:ascii="Times New Roman" w:hAnsi="Times New Roman" w:eastAsia="方正仿宋_GBK" w:cs="方正仿宋_GBK"/>
          <w:b w:val="0"/>
          <w:bCs w:val="0"/>
          <w:color w:val="000000" w:themeColor="text1"/>
          <w:kern w:val="2"/>
          <w:sz w:val="32"/>
          <w:szCs w:val="32"/>
          <w:highlight w:val="none"/>
          <w:lang w:val="en-US" w:eastAsia="zh-CN" w:bidi="zh-CN"/>
          <w14:textFill>
            <w14:solidFill>
              <w14:schemeClr w14:val="tx1"/>
            </w14:solidFill>
          </w14:textFill>
        </w:rPr>
        <w:t>。</w:t>
      </w:r>
      <w:r>
        <w:rPr>
          <w:rFonts w:hint="eastAsia" w:ascii="Times New Roman" w:hAnsi="Times New Roman" w:eastAsia="方正仿宋_GBK" w:cs="方正仿宋_GBK"/>
          <w:b w:val="0"/>
          <w:bCs w:val="0"/>
          <w:color w:val="000000" w:themeColor="text1"/>
          <w:kern w:val="2"/>
          <w:sz w:val="32"/>
          <w:szCs w:val="32"/>
          <w:highlight w:val="none"/>
          <w:lang w:val="en-US" w:eastAsia="zh-CN" w:bidi="ar-SA"/>
          <w14:textFill>
            <w14:solidFill>
              <w14:schemeClr w14:val="tx1"/>
            </w14:solidFill>
          </w14:textFill>
        </w:rPr>
        <w:t>以马繁育养殖、品种改良为重点，以肉用马、乳用马和生物制品马等产品类型为核心，</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重点区域以“一轴”的保种育种基地为主，同时联动其他市旗县范围内马资源保护场、马扩繁场联合开展育种保种工作。</w:t>
      </w:r>
    </w:p>
    <w:p w14:paraId="6BCDC313">
      <w:pPr>
        <w:keepNext w:val="0"/>
        <w:keepLines w:val="0"/>
        <w:pageBreakBefore w:val="0"/>
        <w:widowControl w:val="0"/>
        <w:kinsoku/>
        <w:wordWrap/>
        <w:overflowPunct w:val="0"/>
        <w:topLinePunct w:val="0"/>
        <w:autoSpaceDE/>
        <w:autoSpaceDN/>
        <w:bidi w:val="0"/>
        <w:adjustRightInd/>
        <w:snapToGrid/>
        <w:spacing w:line="560" w:lineRule="exact"/>
        <w:ind w:firstLine="667" w:firstLineChars="200"/>
        <w:textAlignment w:val="auto"/>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bCs/>
          <w:color w:val="000000" w:themeColor="text1"/>
          <w:sz w:val="32"/>
          <w:szCs w:val="32"/>
          <w:highlight w:val="none"/>
          <w:lang w:val="en-US" w:eastAsia="zh-CN"/>
          <w14:textFill>
            <w14:solidFill>
              <w14:schemeClr w14:val="tx1"/>
            </w14:solidFill>
          </w14:textFill>
        </w:rPr>
        <w:t>二产</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：马产品加工业</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val="0"/>
          <w:bCs w:val="0"/>
          <w:color w:val="000000" w:themeColor="text1"/>
          <w:kern w:val="2"/>
          <w:sz w:val="32"/>
          <w:szCs w:val="32"/>
          <w:highlight w:val="none"/>
          <w:lang w:val="en-US" w:eastAsia="zh-CN" w:bidi="ar-SA"/>
          <w14:textFill>
            <w14:solidFill>
              <w14:schemeClr w14:val="tx1"/>
            </w14:solidFill>
          </w14:textFill>
        </w:rPr>
        <w:t>以马产品加工、品牌建设为重点，</w:t>
      </w:r>
      <w:r>
        <w:rPr>
          <w:rFonts w:hint="eastAsia" w:ascii="Times New Roman" w:hAnsi="Times New Roman" w:eastAsia="方正仿宋_GBK" w:cs="方正仿宋_GBK"/>
          <w:color w:val="000000" w:themeColor="text1"/>
          <w:kern w:val="0"/>
          <w:sz w:val="32"/>
          <w:szCs w:val="32"/>
          <w:highlight w:val="none"/>
          <w:lang w:val="en-US" w:eastAsia="zh-CN" w:bidi="ar"/>
          <w14:textFill>
            <w14:solidFill>
              <w14:schemeClr w14:val="tx1"/>
            </w14:solidFill>
          </w14:textFill>
        </w:rPr>
        <w:t>加工方向以马肉、马乳、马皮、马血、马骨、马饲料、马具用品、马药膳、马药品疫苗、孕马尿、孕马血清为主，重点布局在“一轴”范围内。</w:t>
      </w:r>
    </w:p>
    <w:p w14:paraId="14C357FF">
      <w:pPr>
        <w:keepNext w:val="0"/>
        <w:keepLines w:val="0"/>
        <w:pageBreakBefore w:val="0"/>
        <w:widowControl w:val="0"/>
        <w:kinsoku/>
        <w:wordWrap/>
        <w:overflowPunct w:val="0"/>
        <w:topLinePunct w:val="0"/>
        <w:autoSpaceDE/>
        <w:autoSpaceDN/>
        <w:bidi w:val="0"/>
        <w:adjustRightInd/>
        <w:snapToGrid/>
        <w:spacing w:line="560" w:lineRule="exact"/>
        <w:ind w:firstLine="667" w:firstLineChars="200"/>
        <w:textAlignment w:val="auto"/>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pP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bCs/>
          <w:color w:val="000000" w:themeColor="text1"/>
          <w:sz w:val="32"/>
          <w:szCs w:val="32"/>
          <w:highlight w:val="none"/>
          <w:lang w:val="en-US" w:eastAsia="zh-CN"/>
          <w14:textFill>
            <w14:solidFill>
              <w14:schemeClr w14:val="tx1"/>
            </w14:solidFill>
          </w14:textFill>
        </w:rPr>
        <w:t>三产</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：马文化旅游和马竞体育业</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val="0"/>
          <w:bCs w:val="0"/>
          <w:color w:val="000000" w:themeColor="text1"/>
          <w:kern w:val="2"/>
          <w:sz w:val="32"/>
          <w:szCs w:val="32"/>
          <w:highlight w:val="none"/>
          <w:lang w:val="en-US" w:eastAsia="zh-CN" w:bidi="ar-SA"/>
          <w14:textFill>
            <w14:solidFill>
              <w14:schemeClr w14:val="tx1"/>
            </w14:solidFill>
          </w14:textFill>
        </w:rPr>
        <w:t>以马文化旅游和马竞技体育为重点，积极</w:t>
      </w:r>
      <w:r>
        <w:rPr>
          <w:rFonts w:hint="eastAsia" w:ascii="Times New Roman" w:hAnsi="Times New Roman" w:eastAsia="方正仿宋_GBK" w:cs="方正仿宋_GBK"/>
          <w:b w:val="0"/>
          <w:bCs w:val="0"/>
          <w:color w:val="000000" w:themeColor="text1"/>
          <w:sz w:val="32"/>
          <w:szCs w:val="32"/>
          <w:highlight w:val="none"/>
          <w:lang w:val="en-US" w:eastAsia="zh-CN"/>
          <w14:textFill>
            <w14:solidFill>
              <w14:schemeClr w14:val="tx1"/>
            </w14:solidFill>
          </w14:textFill>
        </w:rPr>
        <w:t>培育马产业新业态，积极推进马术培训学校、亚高原训练基地、马文化商业街等项目建设，积极</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筹备举办</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国际马术节</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国际马文化节暨马文化博览会</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万马会</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三</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大节庆活动</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积极开展</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赛马竞技、国际搏克大赛、国际青少年足球联赛、公路自行车赛、铁人三项五大类体育赛事。</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以“三</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大节庆</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”“五个</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赛事</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实现健康可持续发展，</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提升品牌效应，推动</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马文化旅游产业</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和马竞体育产业</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加快转型升级、提质增效，不断壮大</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马</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产业规模</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p>
    <w:p w14:paraId="529FCA3F">
      <w:pPr>
        <w:overflowPunct w:val="0"/>
        <w:spacing w:line="560" w:lineRule="exact"/>
        <w:ind w:firstLine="664" w:firstLineChars="200"/>
        <w:outlineLvl w:val="1"/>
        <w:rPr>
          <w:rFonts w:hint="default"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pPr>
      <w:bookmarkStart w:id="14" w:name="_Toc26963"/>
      <w:r>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二</w:t>
      </w:r>
      <w:r>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一村一品</w:t>
      </w:r>
      <w:r>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特色产业布局</w:t>
      </w:r>
      <w:bookmarkEnd w:id="14"/>
    </w:p>
    <w:p w14:paraId="66510152">
      <w:pPr>
        <w:bidi w:val="0"/>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马匹（马戏/马技）训练专业嘎查</w:t>
      </w:r>
      <w:r>
        <w:rPr>
          <w:rFonts w:hint="eastAsia"/>
          <w:color w:val="000000" w:themeColor="text1"/>
          <w:lang w:val="en-US" w:eastAsia="zh-CN"/>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立足草原牧歌·马背风情之旅、草原旅游振兴等项目，由努和日乐嘎查、巴音敖包嘎查、乌兰温都尔嘎查作为马匹训练专业嘎查，</w:t>
      </w:r>
      <w:r>
        <w:rPr>
          <w:rFonts w:hint="eastAsia" w:cs="方正仿宋_GBK"/>
          <w:color w:val="000000" w:themeColor="text1"/>
          <w:spacing w:val="6"/>
          <w:sz w:val="32"/>
          <w:szCs w:val="32"/>
          <w:highlight w:val="none"/>
          <w:lang w:val="en-US" w:eastAsia="zh-CN" w:bidi="ar"/>
          <w14:textFill>
            <w14:solidFill>
              <w14:schemeClr w14:val="tx1"/>
            </w14:solidFill>
          </w14:textFill>
        </w:rPr>
        <w:t>承载全苏木竞赛型、表演性、骑行型马匹驯服、训练。</w:t>
      </w:r>
    </w:p>
    <w:p w14:paraId="69BC2F3C">
      <w:pPr>
        <w:bidi w:val="0"/>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马具生产加工专业嘎查</w:t>
      </w:r>
      <w:r>
        <w:rPr>
          <w:rFonts w:hint="eastAsia"/>
          <w:color w:val="000000" w:themeColor="text1"/>
          <w:lang w:val="en-US" w:eastAsia="zh-CN"/>
          <w14:textFill>
            <w14:solidFill>
              <w14:schemeClr w14:val="tx1"/>
            </w14:solidFill>
          </w14:textFill>
        </w:rPr>
        <w:t>。为推进全苏木马产业产业链建设，补齐文化旅游发展短板，由阿日胡都格嘎查、巴音查干嘎查承载马具生产制作功能，发展形成完备产业生态，辐射广大牧区。</w:t>
      </w:r>
    </w:p>
    <w:p w14:paraId="011BF627">
      <w:pPr>
        <w:bidi w:val="0"/>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马产品加工专业嘎查</w:t>
      </w:r>
      <w:r>
        <w:rPr>
          <w:rFonts w:hint="eastAsia"/>
          <w:color w:val="000000" w:themeColor="text1"/>
          <w:lang w:val="en-US" w:eastAsia="zh-CN"/>
          <w14:textFill>
            <w14:solidFill>
              <w14:schemeClr w14:val="tx1"/>
            </w14:solidFill>
          </w14:textFill>
        </w:rPr>
        <w:t>。依托“一镇一品”马产业整体定位，充分发挥巴音乌兰苏木畜牧资源和畜牧产业升级契机，由</w:t>
      </w:r>
      <w:r>
        <w:rPr>
          <w:rFonts w:hint="eastAsia" w:ascii="Times New Roman" w:hAnsi="Times New Roman" w:eastAsia="方正仿宋_GBK" w:cs="方正仿宋_GBK"/>
          <w:b w:val="0"/>
          <w:bCs w:val="0"/>
          <w:color w:val="000000" w:themeColor="text1"/>
          <w:spacing w:val="6"/>
          <w:sz w:val="32"/>
          <w:szCs w:val="32"/>
          <w:highlight w:val="none"/>
          <w:lang w:val="en-US" w:eastAsia="zh-CN" w:bidi="ar"/>
          <w14:textFill>
            <w14:solidFill>
              <w14:schemeClr w14:val="tx1"/>
            </w14:solidFill>
          </w14:textFill>
        </w:rPr>
        <w:t>东达乌素嘎查</w:t>
      </w:r>
      <w:r>
        <w:rPr>
          <w:rFonts w:hint="eastAsia" w:cs="方正仿宋_GBK"/>
          <w:b w:val="0"/>
          <w:bCs w:val="0"/>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val="0"/>
          <w:bCs w:val="0"/>
          <w:color w:val="000000" w:themeColor="text1"/>
          <w:spacing w:val="6"/>
          <w:sz w:val="32"/>
          <w:szCs w:val="32"/>
          <w:highlight w:val="none"/>
          <w:lang w:val="en-US" w:eastAsia="zh-CN" w:bidi="ar"/>
          <w14:textFill>
            <w14:solidFill>
              <w14:schemeClr w14:val="tx1"/>
            </w14:solidFill>
          </w14:textFill>
        </w:rPr>
        <w:t>巴音宝日嘎查</w:t>
      </w:r>
      <w:r>
        <w:rPr>
          <w:rFonts w:hint="eastAsia" w:cs="方正仿宋_GBK"/>
          <w:b w:val="0"/>
          <w:bCs w:val="0"/>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val="0"/>
          <w:bCs w:val="0"/>
          <w:color w:val="000000" w:themeColor="text1"/>
          <w:spacing w:val="6"/>
          <w:sz w:val="32"/>
          <w:szCs w:val="32"/>
          <w:highlight w:val="none"/>
          <w:lang w:val="en-US" w:eastAsia="zh-CN" w:bidi="ar"/>
          <w14:textFill>
            <w14:solidFill>
              <w14:schemeClr w14:val="tx1"/>
            </w14:solidFill>
          </w14:textFill>
        </w:rPr>
        <w:t>乌兰额日格嘎查</w:t>
      </w:r>
      <w:r>
        <w:rPr>
          <w:rFonts w:hint="eastAsia" w:cs="方正仿宋_GBK"/>
          <w:b w:val="0"/>
          <w:bCs w:val="0"/>
          <w:color w:val="000000" w:themeColor="text1"/>
          <w:spacing w:val="6"/>
          <w:sz w:val="32"/>
          <w:szCs w:val="32"/>
          <w:highlight w:val="none"/>
          <w:lang w:val="en-US" w:eastAsia="zh-CN" w:bidi="ar"/>
          <w14:textFill>
            <w14:solidFill>
              <w14:schemeClr w14:val="tx1"/>
            </w14:solidFill>
          </w14:textFill>
        </w:rPr>
        <w:t>承接马肉加工、马奶酒、马酸奶等系列产品加工。</w:t>
      </w:r>
    </w:p>
    <w:p w14:paraId="5546657B">
      <w:pPr>
        <w:bidi w:val="0"/>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繁殖育种专业嘎查</w:t>
      </w:r>
      <w:r>
        <w:rPr>
          <w:rFonts w:hint="eastAsia"/>
          <w:color w:val="000000" w:themeColor="text1"/>
          <w:lang w:val="en-US" w:eastAsia="zh-CN"/>
          <w14:textFill>
            <w14:solidFill>
              <w14:schemeClr w14:val="tx1"/>
            </w14:solidFill>
          </w14:textFill>
        </w:rPr>
        <w:t>。为强化巴音乌兰马产业可持续发展能力，优化产业结构，提升马产业整体发展质量，将呼鲁斯嘎查、新尼乌素嘎查、乌力吉图和尔嘎查、伊和宝力格嘎查设立为马产业繁殖育种专业嘎查，承担马产业繁殖育种职能。</w:t>
      </w:r>
    </w:p>
    <w:p w14:paraId="10252A88">
      <w:pPr>
        <w:bidi w:val="0"/>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马文化专业嘎查</w:t>
      </w:r>
      <w:r>
        <w:rPr>
          <w:rFonts w:hint="eastAsia"/>
          <w:color w:val="000000" w:themeColor="text1"/>
          <w:lang w:val="en-US" w:eastAsia="zh-CN"/>
          <w14:textFill>
            <w14:solidFill>
              <w14:schemeClr w14:val="tx1"/>
            </w14:solidFill>
          </w14:textFill>
        </w:rPr>
        <w:t>。为强化马产业生命力和产业链建设，助力产业品牌建立，将</w:t>
      </w:r>
      <w:r>
        <w:rPr>
          <w:rFonts w:hint="eastAsia" w:ascii="Times New Roman" w:hAnsi="Times New Roman" w:eastAsia="方正仿宋_GBK" w:cs="方正仿宋_GBK"/>
          <w:b w:val="0"/>
          <w:bCs w:val="0"/>
          <w:color w:val="000000" w:themeColor="text1"/>
          <w:spacing w:val="6"/>
          <w:sz w:val="32"/>
          <w:szCs w:val="32"/>
          <w:highlight w:val="none"/>
          <w:lang w:val="en-US" w:eastAsia="zh-CN" w:bidi="ar"/>
          <w14:textFill>
            <w14:solidFill>
              <w14:schemeClr w14:val="tx1"/>
            </w14:solidFill>
          </w14:textFill>
        </w:rPr>
        <w:t>乌兰格日乐嘎查</w:t>
      </w:r>
      <w:r>
        <w:rPr>
          <w:rFonts w:hint="eastAsia" w:cs="方正仿宋_GBK"/>
          <w:b w:val="0"/>
          <w:bCs w:val="0"/>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val="0"/>
          <w:bCs w:val="0"/>
          <w:color w:val="000000" w:themeColor="text1"/>
          <w:spacing w:val="6"/>
          <w:sz w:val="32"/>
          <w:szCs w:val="32"/>
          <w:highlight w:val="none"/>
          <w:lang w:val="en-US" w:eastAsia="zh-CN" w:bidi="ar"/>
          <w14:textFill>
            <w14:solidFill>
              <w14:schemeClr w14:val="tx1"/>
            </w14:solidFill>
          </w14:textFill>
        </w:rPr>
        <w:t>吉日格楞图嘎查</w:t>
      </w:r>
      <w:r>
        <w:rPr>
          <w:rFonts w:hint="eastAsia" w:cs="方正仿宋_GBK"/>
          <w:b w:val="0"/>
          <w:bCs w:val="0"/>
          <w:color w:val="000000" w:themeColor="text1"/>
          <w:spacing w:val="6"/>
          <w:sz w:val="32"/>
          <w:szCs w:val="32"/>
          <w:highlight w:val="none"/>
          <w:lang w:val="en-US" w:eastAsia="zh-CN" w:bidi="ar"/>
          <w14:textFill>
            <w14:solidFill>
              <w14:schemeClr w14:val="tx1"/>
            </w14:solidFill>
          </w14:textFill>
        </w:rPr>
        <w:t>设为马文化旅游专业嘎查，通过巴音乌兰马文化体系建设、马产品品牌构造，全面赋能马产业链发展。</w:t>
      </w:r>
    </w:p>
    <w:p w14:paraId="6FDFE733">
      <w:pPr>
        <w:bidi w:val="0"/>
        <w:rPr>
          <w:rFonts w:hint="default" w:ascii="Times New Roman" w:hAnsi="Times New Roman" w:eastAsia="方正仿宋_GBK" w:cs="方正仿宋_GBK"/>
          <w:b w:val="0"/>
          <w:bCs w:val="0"/>
          <w:color w:val="000000" w:themeColor="text1"/>
          <w:spacing w:val="6"/>
          <w:sz w:val="32"/>
          <w:szCs w:val="32"/>
          <w:highlight w:val="none"/>
          <w:lang w:val="en-US" w:eastAsia="zh-CN" w:bidi="ar"/>
          <w14:textFill>
            <w14:solidFill>
              <w14:schemeClr w14:val="tx1"/>
            </w14:solidFill>
          </w14:textFill>
        </w:rPr>
      </w:pPr>
      <w:r>
        <w:rPr>
          <w:rFonts w:hint="eastAsia"/>
          <w:b/>
          <w:bCs/>
          <w:color w:val="000000" w:themeColor="text1"/>
          <w:lang w:val="en-US" w:eastAsia="zh-CN"/>
          <w14:textFill>
            <w14:solidFill>
              <w14:schemeClr w14:val="tx1"/>
            </w14:solidFill>
          </w14:textFill>
        </w:rPr>
        <w:t>边境旅游专业嘎查。</w:t>
      </w:r>
      <w:r>
        <w:rPr>
          <w:rFonts w:hint="eastAsia"/>
          <w:b w:val="0"/>
          <w:bCs w:val="0"/>
          <w:color w:val="000000" w:themeColor="text1"/>
          <w:lang w:val="en-US" w:eastAsia="zh-CN"/>
          <w14:textFill>
            <w14:solidFill>
              <w14:schemeClr w14:val="tx1"/>
            </w14:solidFill>
          </w14:textFill>
        </w:rPr>
        <w:t>为发挥巴音乌兰苏木边境特色，发展边境文化旅游，以巴音图克木嘎查、桑更达来嘎查两个临边嘎查为承接，发展巴音乌兰苏木边境文旅产业。</w:t>
      </w:r>
    </w:p>
    <w:p w14:paraId="46538C46">
      <w:pPr>
        <w:overflowPunct w:val="0"/>
        <w:spacing w:line="560" w:lineRule="exact"/>
        <w:ind w:firstLine="664" w:firstLineChars="200"/>
        <w:outlineLvl w:val="1"/>
        <w:rPr>
          <w:rFonts w:hint="default"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pPr>
      <w:bookmarkStart w:id="15" w:name="_Toc9297"/>
      <w:r>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三</w:t>
      </w:r>
      <w:r>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庭院经济产业布局</w:t>
      </w:r>
      <w:bookmarkEnd w:id="15"/>
    </w:p>
    <w:p w14:paraId="6F4FE43F">
      <w:pPr>
        <w:keepNext w:val="0"/>
        <w:keepLines w:val="0"/>
        <w:pageBreakBefore w:val="0"/>
        <w:widowControl w:val="0"/>
        <w:kinsoku/>
        <w:wordWrap/>
        <w:overflowPunct w:val="0"/>
        <w:topLinePunct w:val="0"/>
        <w:autoSpaceDE/>
        <w:autoSpaceDN/>
        <w:bidi w:val="0"/>
        <w:adjustRightInd/>
        <w:snapToGrid/>
        <w:spacing w:line="560" w:lineRule="exact"/>
        <w:ind w:firstLine="664" w:firstLineChars="200"/>
        <w:textAlignment w:val="auto"/>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cs="方正仿宋_GBK"/>
          <w:color w:val="000000" w:themeColor="text1"/>
          <w:spacing w:val="6"/>
          <w:sz w:val="32"/>
          <w:szCs w:val="32"/>
          <w:highlight w:val="none"/>
          <w:lang w:val="en-US" w:eastAsia="zh-CN" w:bidi="ar"/>
          <w14:textFill>
            <w14:solidFill>
              <w14:schemeClr w14:val="tx1"/>
            </w14:solidFill>
          </w14:textFill>
        </w:rPr>
        <w:t>为充分推动“一镇一品”产业布局和“一村一品”产业分工，推进全苏木马产业快速落实、见效，充分发挥庭院经济作用，鼓励牧户参与，从马匹养殖、马具手工、生活服务等方面发挥作用，形成整体推进、规模发展的产业发展格局。</w:t>
      </w:r>
    </w:p>
    <w:p w14:paraId="613D6F73">
      <w:pPr>
        <w:keepNext w:val="0"/>
        <w:keepLines w:val="0"/>
        <w:pageBreakBefore w:val="0"/>
        <w:widowControl w:val="0"/>
        <w:kinsoku/>
        <w:wordWrap/>
        <w:overflowPunct w:val="0"/>
        <w:topLinePunct w:val="0"/>
        <w:autoSpaceDE/>
        <w:autoSpaceDN/>
        <w:bidi w:val="0"/>
        <w:adjustRightInd/>
        <w:snapToGrid/>
        <w:spacing w:line="560" w:lineRule="exact"/>
        <w:ind w:firstLine="667" w:firstLineChars="200"/>
        <w:textAlignment w:val="auto"/>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cs="方正仿宋_GBK"/>
          <w:b/>
          <w:bCs/>
          <w:color w:val="000000" w:themeColor="text1"/>
          <w:spacing w:val="6"/>
          <w:sz w:val="32"/>
          <w:szCs w:val="32"/>
          <w:highlight w:val="none"/>
          <w:lang w:val="en-US" w:eastAsia="zh-CN" w:bidi="ar"/>
          <w14:textFill>
            <w14:solidFill>
              <w14:schemeClr w14:val="tx1"/>
            </w14:solidFill>
          </w14:textFill>
        </w:rPr>
        <w:t>牧家乐</w:t>
      </w:r>
      <w:r>
        <w:rPr>
          <w:rFonts w:hint="eastAsia" w:cs="方正仿宋_GBK"/>
          <w:color w:val="000000" w:themeColor="text1"/>
          <w:spacing w:val="6"/>
          <w:sz w:val="32"/>
          <w:szCs w:val="32"/>
          <w:highlight w:val="none"/>
          <w:lang w:val="en-US" w:eastAsia="zh-CN" w:bidi="ar"/>
          <w14:textFill>
            <w14:solidFill>
              <w14:schemeClr w14:val="tx1"/>
            </w14:solidFill>
          </w14:textFill>
        </w:rPr>
        <w:t>。根据全旗国防教育、研学旅行整体规划和巴音乌兰乌木整体文旅布局，围绕主要文化旅游线路，重点特色文旅产业和重要节庆举办线路发动牧民建设牧家乐，提供餐饮、住宿、娱乐等服务，构建特色服务体系的同时发展弥补苏木接待能力不足短板。</w:t>
      </w:r>
    </w:p>
    <w:p w14:paraId="4DB0953B">
      <w:pPr>
        <w:keepNext w:val="0"/>
        <w:keepLines w:val="0"/>
        <w:pageBreakBefore w:val="0"/>
        <w:widowControl w:val="0"/>
        <w:kinsoku/>
        <w:wordWrap/>
        <w:overflowPunct w:val="0"/>
        <w:topLinePunct w:val="0"/>
        <w:autoSpaceDE/>
        <w:autoSpaceDN/>
        <w:bidi w:val="0"/>
        <w:adjustRightInd/>
        <w:snapToGrid/>
        <w:spacing w:line="560" w:lineRule="exact"/>
        <w:ind w:firstLine="667" w:firstLineChars="200"/>
        <w:textAlignment w:val="auto"/>
        <w:rPr>
          <w:rFonts w:hint="default"/>
          <w:color w:val="000000" w:themeColor="text1"/>
          <w:lang w:val="en-US" w:eastAsia="zh-CN"/>
          <w14:textFill>
            <w14:solidFill>
              <w14:schemeClr w14:val="tx1"/>
            </w14:solidFill>
          </w14:textFill>
        </w:rPr>
      </w:pPr>
      <w:r>
        <w:rPr>
          <w:rFonts w:hint="eastAsia" w:cs="方正仿宋_GBK"/>
          <w:b/>
          <w:bCs/>
          <w:color w:val="000000" w:themeColor="text1"/>
          <w:spacing w:val="6"/>
          <w:sz w:val="32"/>
          <w:szCs w:val="32"/>
          <w:highlight w:val="none"/>
          <w:lang w:val="en-US" w:eastAsia="zh-CN" w:bidi="ar"/>
          <w14:textFill>
            <w14:solidFill>
              <w14:schemeClr w14:val="tx1"/>
            </w14:solidFill>
          </w14:textFill>
        </w:rPr>
        <w:t>家庭作坊</w:t>
      </w:r>
      <w:r>
        <w:rPr>
          <w:rFonts w:hint="eastAsia" w:cs="方正仿宋_GBK"/>
          <w:color w:val="000000" w:themeColor="text1"/>
          <w:spacing w:val="6"/>
          <w:sz w:val="32"/>
          <w:szCs w:val="32"/>
          <w:highlight w:val="none"/>
          <w:lang w:val="en-US" w:eastAsia="zh-CN" w:bidi="ar"/>
          <w14:textFill>
            <w14:solidFill>
              <w14:schemeClr w14:val="tx1"/>
            </w14:solidFill>
          </w14:textFill>
        </w:rPr>
        <w:t>。充分挖掘人民群众技艺，聚集一批酸奶制作、马具制作、马奶酒酿制手工艺高超牧民，以家庭作坊生产，苏木镇统一收购出售形式运作。弥补产业建设前期产能不足、产量不稳的问题。</w:t>
      </w:r>
    </w:p>
    <w:p w14:paraId="757E144E">
      <w:pPr>
        <w:keepNext w:val="0"/>
        <w:keepLines w:val="0"/>
        <w:pageBreakBefore w:val="0"/>
        <w:widowControl w:val="0"/>
        <w:kinsoku/>
        <w:wordWrap/>
        <w:overflowPunct w:val="0"/>
        <w:topLinePunct w:val="0"/>
        <w:autoSpaceDE/>
        <w:autoSpaceDN/>
        <w:bidi w:val="0"/>
        <w:adjustRightInd/>
        <w:snapToGrid/>
        <w:spacing w:line="560" w:lineRule="exact"/>
        <w:ind w:firstLine="667" w:firstLineChars="200"/>
        <w:textAlignment w:val="auto"/>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cs="方正仿宋_GBK"/>
          <w:b/>
          <w:bCs/>
          <w:color w:val="000000" w:themeColor="text1"/>
          <w:spacing w:val="6"/>
          <w:sz w:val="32"/>
          <w:szCs w:val="32"/>
          <w:highlight w:val="none"/>
          <w:lang w:val="en-US" w:eastAsia="zh-CN" w:bidi="ar"/>
          <w14:textFill>
            <w14:solidFill>
              <w14:schemeClr w14:val="tx1"/>
            </w14:solidFill>
          </w14:textFill>
        </w:rPr>
        <w:t>马匹驯养</w:t>
      </w:r>
      <w:r>
        <w:rPr>
          <w:rFonts w:hint="eastAsia" w:cs="方正仿宋_GBK"/>
          <w:color w:val="000000" w:themeColor="text1"/>
          <w:spacing w:val="6"/>
          <w:sz w:val="32"/>
          <w:szCs w:val="32"/>
          <w:highlight w:val="none"/>
          <w:lang w:val="en-US" w:eastAsia="zh-CN" w:bidi="ar"/>
          <w14:textFill>
            <w14:solidFill>
              <w14:schemeClr w14:val="tx1"/>
            </w14:solidFill>
          </w14:textFill>
        </w:rPr>
        <w:t>。充分发挥牧民驯马技能，选育良种马匹交由牧民驯养，为游客马匹骑乘提供马匹。</w:t>
      </w:r>
    </w:p>
    <w:p w14:paraId="025FAD3F">
      <w:pPr>
        <w:keepNext w:val="0"/>
        <w:keepLines w:val="0"/>
        <w:pageBreakBefore w:val="0"/>
        <w:widowControl w:val="0"/>
        <w:kinsoku/>
        <w:wordWrap/>
        <w:overflowPunct w:val="0"/>
        <w:topLinePunct w:val="0"/>
        <w:autoSpaceDE/>
        <w:autoSpaceDN/>
        <w:bidi w:val="0"/>
        <w:adjustRightInd/>
        <w:snapToGrid/>
        <w:spacing w:line="560" w:lineRule="exact"/>
        <w:ind w:firstLine="667" w:firstLineChars="200"/>
        <w:textAlignment w:val="auto"/>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cs="方正仿宋_GBK"/>
          <w:b/>
          <w:bCs/>
          <w:color w:val="000000" w:themeColor="text1"/>
          <w:spacing w:val="6"/>
          <w:sz w:val="32"/>
          <w:szCs w:val="32"/>
          <w:highlight w:val="none"/>
          <w:lang w:val="en-US" w:eastAsia="zh-CN" w:bidi="ar"/>
          <w14:textFill>
            <w14:solidFill>
              <w14:schemeClr w14:val="tx1"/>
            </w14:solidFill>
          </w14:textFill>
        </w:rPr>
        <w:t>电商直播</w:t>
      </w:r>
      <w:r>
        <w:rPr>
          <w:rFonts w:hint="eastAsia" w:cs="方正仿宋_GBK"/>
          <w:color w:val="000000" w:themeColor="text1"/>
          <w:spacing w:val="6"/>
          <w:sz w:val="32"/>
          <w:szCs w:val="32"/>
          <w:highlight w:val="none"/>
          <w:lang w:val="en-US" w:eastAsia="zh-CN" w:bidi="ar"/>
          <w14:textFill>
            <w14:solidFill>
              <w14:schemeClr w14:val="tx1"/>
            </w14:solidFill>
          </w14:textFill>
        </w:rPr>
        <w:t>。顺应全旗电商直播产业建设潮流，推动巴音乌兰电商直播产业建设，鼓励牧民开通运营直播平台，由苏木政府提供统一理论实践培训。</w:t>
      </w:r>
    </w:p>
    <w:p w14:paraId="2AB3A641">
      <w:pPr>
        <w:spacing w:line="560" w:lineRule="exact"/>
        <w:ind w:firstLine="640" w:firstLineChars="200"/>
        <w:outlineLvl w:val="0"/>
        <w:rPr>
          <w:rFonts w:hint="default" w:ascii="Times New Roman" w:hAnsi="Times New Roman" w:eastAsia="方正黑体_GBK" w:cs="方正仿宋_GBK"/>
          <w:color w:val="000000" w:themeColor="text1"/>
          <w:spacing w:val="6"/>
          <w:sz w:val="32"/>
          <w:szCs w:val="32"/>
          <w:highlight w:val="none"/>
          <w:lang w:val="en-US" w:eastAsia="zh-CN" w:bidi="ar"/>
          <w14:textFill>
            <w14:solidFill>
              <w14:schemeClr w14:val="tx1"/>
            </w14:solidFill>
          </w14:textFill>
        </w:rPr>
      </w:pPr>
      <w:bookmarkStart w:id="16" w:name="_Toc22059"/>
      <w:bookmarkStart w:id="17" w:name="_Toc25498"/>
      <w:bookmarkStart w:id="18" w:name="_Toc19530"/>
      <w:bookmarkStart w:id="19" w:name="_Toc21883"/>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四、</w:t>
      </w:r>
      <w:bookmarkEnd w:id="16"/>
      <w:bookmarkEnd w:id="17"/>
      <w:bookmarkEnd w:id="18"/>
      <w:r>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t>主要任务</w:t>
      </w:r>
      <w:bookmarkEnd w:id="19"/>
    </w:p>
    <w:p w14:paraId="43075B25">
      <w:pPr>
        <w:overflowPunct w:val="0"/>
        <w:spacing w:line="560" w:lineRule="exact"/>
        <w:ind w:firstLine="664" w:firstLineChars="200"/>
        <w:outlineLvl w:val="1"/>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pPr>
      <w:bookmarkStart w:id="20" w:name="_Toc29888"/>
      <w:r>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一</w:t>
      </w:r>
      <w:r>
        <w:rPr>
          <w:rFonts w:hint="eastAsia" w:ascii="Times New Roman" w:hAnsi="Times New Roman" w:eastAsia="方正楷体_GBK" w:cs="方正楷体_GBK"/>
          <w:color w:val="000000" w:themeColor="text1"/>
          <w:spacing w:val="6"/>
          <w:sz w:val="32"/>
          <w:szCs w:val="32"/>
          <w:highlight w:val="none"/>
          <w:lang w:eastAsia="zh-CN" w:bidi="ar"/>
          <w14:textFill>
            <w14:solidFill>
              <w14:schemeClr w14:val="tx1"/>
            </w14:solidFill>
          </w14:textFill>
        </w:rPr>
        <w:t>）加强现代养殖体系建设</w:t>
      </w:r>
      <w:bookmarkEnd w:id="20"/>
    </w:p>
    <w:p w14:paraId="7DA13584">
      <w:pPr>
        <w:widowControl w:val="0"/>
        <w:adjustRightInd w:val="0"/>
        <w:snapToGrid w:val="0"/>
        <w:spacing w:line="560" w:lineRule="exact"/>
        <w:ind w:firstLine="643" w:firstLineChars="200"/>
        <w:jc w:val="both"/>
        <w:outlineLvl w:val="2"/>
        <w:rPr>
          <w:rFonts w:hint="default"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21" w:name="_Toc16824"/>
      <w:bookmarkStart w:id="22" w:name="_Toc13081"/>
      <w:bookmarkStart w:id="23" w:name="_Toc25876"/>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1.加强马品种资源保护</w:t>
      </w:r>
      <w:bookmarkEnd w:id="21"/>
      <w:bookmarkEnd w:id="22"/>
    </w:p>
    <w:p w14:paraId="6F48B85C">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进一步加大推进</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品种资源保护工作，防止盲目杂交改良导致地方优良品种资源流失，大力提升</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品质，树立</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品牌。坚持“高起点、高标准、高效益”的原则，把</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产区划定为保护区，严格控制外血导入，建立健全的良种繁育体系，全面实施</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种质资源保护项目，为地方经济发展，牧民增收做出贡献。</w:t>
      </w:r>
    </w:p>
    <w:p w14:paraId="593A15C3">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（1）加强</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品种保护工程，完善</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保护区，扩群增量保种场和核心群，开展提纯复壮工作。</w:t>
      </w:r>
    </w:p>
    <w:p w14:paraId="636C52A8">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（2）全面开展品种资源普查，按照国家标准建立健全马品种登记管理制度，进一步查清存栏数量、分布和特性，全面掌握</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遗传资源状况；制定</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遗传资源保护方案，分级分类地实施精准保种。</w:t>
      </w:r>
    </w:p>
    <w:p w14:paraId="75702000">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（3）建立以</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遗传资源为主的基因库，开展</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地方品种基因测序、马匹质量检测和品种认定工作；完善马遗传资源保护方式，研究应用胚胎、精子、细胞等遗传物质超低温冷冻保存技术。</w:t>
      </w:r>
    </w:p>
    <w:p w14:paraId="1F74F6D7">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（4）强化多渠道政策保障，建立科学优质的</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种质资源信息库和遗传资源动态监测预警体系，推动巴音乌兰成为国家</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品种遗传资源保护和研究开发基地。</w:t>
      </w:r>
    </w:p>
    <w:p w14:paraId="62D32189">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（5）逐年递增</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保护项目的专项资金补贴；每年设立精准保护纯种</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数量的目标。</w:t>
      </w:r>
    </w:p>
    <w:p w14:paraId="71FC9591">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（6）由企业培育148匹乌拉特枣骝马，进行蒙古马保种育种，以此开展畜禽遗传采集和评定，同时推进申报乌拉特蒙古马命名。</w:t>
      </w:r>
    </w:p>
    <w:p w14:paraId="1F381F3C">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24" w:name="_Toc23318"/>
      <w:bookmarkStart w:id="25" w:name="_Toc17987"/>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2.加强马育种场建设</w:t>
      </w:r>
      <w:bookmarkEnd w:id="23"/>
      <w:bookmarkEnd w:id="24"/>
      <w:bookmarkEnd w:id="25"/>
    </w:p>
    <w:p w14:paraId="3B9F1A05">
      <w:pPr>
        <w:widowControl w:val="0"/>
        <w:adjustRightInd w:val="0"/>
        <w:snapToGrid w:val="0"/>
        <w:spacing w:line="560" w:lineRule="exact"/>
        <w:ind w:firstLine="640" w:firstLineChars="200"/>
        <w:jc w:val="both"/>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加快</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品种选育工作，扶持运动马、产品马、休闲骑乘马的扩繁场建设，提高优质马供种能力，</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促进</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保种育种标准化发展，实现从</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数量产品型</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向</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质量效益型</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的转变。</w:t>
      </w:r>
    </w:p>
    <w:p w14:paraId="292B584F">
      <w:pPr>
        <w:widowControl w:val="0"/>
        <w:adjustRightInd w:val="0"/>
        <w:snapToGrid w:val="0"/>
        <w:spacing w:line="560" w:lineRule="exact"/>
        <w:ind w:firstLine="640" w:firstLineChars="200"/>
        <w:jc w:val="both"/>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（1）整合现有资源，加快国有马场体制机制改革，推进企业化市场运营机制，依托</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育种基础和育马人才资源，在优势地区建立各有侧重的大众骑乘马、运动竞技马、肉用马和乳用马繁育场，为大众骑乘马、运动竞技马、肉用马和乳用马提供种质资源。</w:t>
      </w:r>
    </w:p>
    <w:p w14:paraId="1DDF1A3C">
      <w:pPr>
        <w:widowControl w:val="0"/>
        <w:adjustRightInd w:val="0"/>
        <w:snapToGrid w:val="0"/>
        <w:spacing w:line="560" w:lineRule="exact"/>
        <w:ind w:firstLine="640" w:firstLineChars="200"/>
        <w:jc w:val="both"/>
        <w:rPr>
          <w:rFonts w:hint="default" w:ascii="Times New Roman" w:hAnsi="Times New Roman" w:eastAsia="方正仿宋_GBK" w:cs="方正仿宋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（2）将马产业用地纳入全旗土地总体规划，对重大马产业发展项目用地，按年度土地使用计划予以保障供应。</w:t>
      </w:r>
    </w:p>
    <w:p w14:paraId="3E0C4C21">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26" w:name="_Toc31254"/>
      <w:bookmarkStart w:id="27" w:name="_Toc30779"/>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3.推进马品种培育和纯种繁育</w:t>
      </w:r>
      <w:bookmarkEnd w:id="26"/>
      <w:bookmarkEnd w:id="27"/>
    </w:p>
    <w:p w14:paraId="41FF603B">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制定本地区马遗传改良计划，科学确定马品种改良方向。发挥地方马优良特性，定向培育产品用马、竞技马、休闲骑乘马等专门化新品系，提升马专项生产性能和养马经济效益。</w:t>
      </w:r>
    </w:p>
    <w:p w14:paraId="3658BCC8">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1</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鼓励支持养马大户、阿润策格乳业专业合作社、</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马场、阿度马业等</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本地</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马产业龙头企业通过引进国内外优良品种开展纯种繁育和改良</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加快纯血马、温血马的本土化选育和扩繁，提高种质水平和供种能力，满足高级别马术运动用马需要。</w:t>
      </w:r>
    </w:p>
    <w:p w14:paraId="1E09C47A">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（2）在</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地方品种主产区和有条件的纯血马场，建立完善良种繁育场，健全选育方案，扩大育种核心群规模，增加优质品种供种能力，提高生产性能，促进农牧民增收。</w:t>
      </w:r>
    </w:p>
    <w:p w14:paraId="7AD3D9F5">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（3）依托良种繁育场，建立专用马性能测试中心，提升选种育种水平；建立完善的马匹改良技术服务推广体系；加强种马进出口管理，科学评价引进种马的生产性能，防止低水平重复引种。</w:t>
      </w:r>
    </w:p>
    <w:p w14:paraId="3B1157EC">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（4）发掘地方马品种资源优良特性，开展专门化品系培育；以现有培育品种为基础群，通过现代育种手段培育适应市场需求的中国温血马、耐力马和乳用马等专用品系。</w:t>
      </w:r>
    </w:p>
    <w:p w14:paraId="34504E7F">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28" w:name="_Toc25212"/>
      <w:bookmarkStart w:id="29" w:name="_Toc20187"/>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drawing>
          <wp:anchor distT="0" distB="0" distL="114300" distR="114300" simplePos="0" relativeHeight="251661312" behindDoc="0" locked="0" layoutInCell="1" allowOverlap="1">
            <wp:simplePos x="0" y="0"/>
            <wp:positionH relativeFrom="column">
              <wp:posOffset>1619250</wp:posOffset>
            </wp:positionH>
            <wp:positionV relativeFrom="paragraph">
              <wp:posOffset>558800</wp:posOffset>
            </wp:positionV>
            <wp:extent cx="27940" cy="6350"/>
            <wp:effectExtent l="0" t="0" r="0" b="0"/>
            <wp:wrapNone/>
            <wp:docPr id="1" name="墨迹 3"/>
            <wp:cNvGraphicFramePr/>
            <a:graphic xmlns:a="http://schemas.openxmlformats.org/drawingml/2006/main">
              <a:graphicData uri="http://schemas.openxmlformats.org/drawingml/2006/picture">
                <pic:pic xmlns:pic="http://schemas.openxmlformats.org/drawingml/2006/picture">
                  <pic:nvPicPr>
                    <pic:cNvPr id="1" name="墨迹 3"/>
                    <pic:cNvPicPr/>
                  </pic:nvPicPr>
                  <pic:blipFill>
                    <a:blip r:embed="rId14"/>
                    <a:stretch>
                      <a:fillRect/>
                    </a:stretch>
                  </pic:blipFill>
                  <pic:spPr>
                    <a:xfrm>
                      <a:off x="0" y="0"/>
                      <a:ext cx="63234" cy="206542"/>
                    </a:xfrm>
                    <a:prstGeom prst="rect">
                      <a:avLst/>
                    </a:prstGeom>
                  </pic:spPr>
                </pic:pic>
              </a:graphicData>
            </a:graphic>
          </wp:anchor>
        </w:drawing>
      </w:r>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4.推进马调教训练产业</w:t>
      </w:r>
      <w:bookmarkEnd w:id="28"/>
      <w:bookmarkEnd w:id="29"/>
    </w:p>
    <w:p w14:paraId="4077D301">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积极引进技术教育人才，针对育种马场繁育的优良马匹，实施专业性调教训练，为有需求的京津冀、长三角、粤港澳大湾区、海南自贸区、成渝双城经济圈等新兴发展区，提供调教后的运动马。通过此举拉动就业，加快推进马调教训练产业的整体发展，实现本地农牧民增收，经济稳步增长。</w:t>
      </w:r>
    </w:p>
    <w:p w14:paraId="777F36C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（1）针对市场需求的各类运动马品种，参照国际和国内赛事标准，对标速度赛、马术赛、休闲骑乘等马的不同用途建立相应的调训技术方案。</w:t>
      </w:r>
    </w:p>
    <w:p w14:paraId="2E1E519C">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（2）开发适用于国产马特色马术运动的专门化的调训技术方案。</w:t>
      </w:r>
    </w:p>
    <w:p w14:paraId="6E557E0E">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（3）推进马训教基地建设，积极引导龙头企业建设一批设施完备、符合国际赛事标准的运动马训教基地。</w:t>
      </w:r>
    </w:p>
    <w:p w14:paraId="351BA27B">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30" w:name="_Toc5951"/>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5.升级打造智慧家庭牧场</w:t>
      </w:r>
      <w:bookmarkEnd w:id="30"/>
    </w:p>
    <w:p w14:paraId="622E249C">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积极引进现代化信息技术，推进传统牧场与智慧牧业相结合，全面提升牧场管理效率、生产效率和资源利用率。</w:t>
      </w:r>
    </w:p>
    <w:p w14:paraId="095AA4CC">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（1）智能监控与管理。设置实时视频监控，远程牧场监控、电子围栏、电子耳标等信息化设备，远程监控牧场环境、牲畜健康状况和生产情况。</w:t>
      </w:r>
    </w:p>
    <w:p w14:paraId="599EB3D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（2）精准饲喂系统。配备专业化传感器和数据处理仪器，针对牲畜实施精准饲喂，全面优化种群体重和生长周期。</w:t>
      </w:r>
    </w:p>
    <w:p w14:paraId="6182A34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（3）自动化设施，配备自动挤奶、自动清洁等设备，降低人工投入提高效率。</w:t>
      </w:r>
    </w:p>
    <w:p w14:paraId="397A4FBD">
      <w:pPr>
        <w:bidi w:val="0"/>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（4）加强清洁能源利用，充分发挥风光绿色能源充足优势，加强对太阳能、风能等绿色能源使用，降低牧场能源成本。</w:t>
      </w:r>
    </w:p>
    <w:p w14:paraId="58D32E7A">
      <w:pPr>
        <w:widowControl w:val="0"/>
        <w:adjustRightInd w:val="0"/>
        <w:snapToGrid w:val="0"/>
        <w:spacing w:line="560" w:lineRule="exact"/>
        <w:ind w:firstLine="643" w:firstLineChars="200"/>
        <w:jc w:val="both"/>
        <w:outlineLvl w:val="2"/>
        <w:rPr>
          <w:rFonts w:hint="default"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pPr>
      <w:bookmarkStart w:id="31" w:name="_Toc25515"/>
      <w:r>
        <w:rPr>
          <w:rFonts w:hint="eastAsia" w:cs="方正仿宋_GBK"/>
          <w:b/>
          <w:bCs w:val="0"/>
          <w:color w:val="000000" w:themeColor="text1"/>
          <w:kern w:val="2"/>
          <w:sz w:val="32"/>
          <w:szCs w:val="32"/>
          <w:highlight w:val="none"/>
          <w:lang w:val="en-US" w:eastAsia="zh-CN" w:bidi="ar-SA"/>
          <w14:textFill>
            <w14:solidFill>
              <w14:schemeClr w14:val="tx1"/>
            </w14:solidFill>
          </w14:textFill>
        </w:rPr>
        <w:t>6</w:t>
      </w:r>
      <w:r>
        <w:rPr>
          <w:rFonts w:hint="eastAsia"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t>.养殖升级建设</w:t>
      </w:r>
      <w:bookmarkEnd w:id="31"/>
    </w:p>
    <w:p w14:paraId="1F3A33C4">
      <w:pPr>
        <w:widowControl w:val="0"/>
        <w:adjustRightInd w:val="0"/>
        <w:snapToGrid w:val="0"/>
        <w:spacing w:line="560" w:lineRule="exact"/>
        <w:jc w:val="both"/>
        <w:rPr>
          <w:rFonts w:hint="default"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s="方正仿宋_GBK"/>
          <w:b w:val="0"/>
          <w:bCs/>
          <w:color w:val="000000" w:themeColor="text1"/>
          <w:kern w:val="2"/>
          <w:sz w:val="32"/>
          <w:szCs w:val="32"/>
          <w:highlight w:val="none"/>
          <w:lang w:val="en-US" w:eastAsia="zh-CN" w:bidi="ar-SA"/>
          <w14:textFill>
            <w14:solidFill>
              <w14:schemeClr w14:val="tx1"/>
            </w14:solidFill>
          </w14:textFill>
        </w:rPr>
        <w:t>全面提升苏木养殖产业设施，根据标准化养殖需求翻新养殖设施设备，优化牲畜生长条件，推进产业走向标准化、成熟化，提升养殖质量和牲畜附加值。</w:t>
      </w:r>
    </w:p>
    <w:p w14:paraId="38145413">
      <w:pPr>
        <w:widowControl w:val="0"/>
        <w:adjustRightInd w:val="0"/>
        <w:snapToGrid w:val="0"/>
        <w:spacing w:line="560" w:lineRule="exact"/>
        <w:ind w:firstLine="640" w:firstLineChars="200"/>
        <w:jc w:val="both"/>
        <w:rPr>
          <w:rFonts w:hint="eastAsia"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s="方正仿宋_GBK"/>
          <w:b w:val="0"/>
          <w:bCs/>
          <w:color w:val="000000" w:themeColor="text1"/>
          <w:kern w:val="2"/>
          <w:sz w:val="32"/>
          <w:szCs w:val="32"/>
          <w:highlight w:val="none"/>
          <w:lang w:val="en-US" w:eastAsia="zh-CN" w:bidi="ar-SA"/>
          <w14:textFill>
            <w14:solidFill>
              <w14:schemeClr w14:val="tx1"/>
            </w14:solidFill>
          </w14:textFill>
        </w:rPr>
        <w:t>（1）根据标准化养殖基本要求，评估修缮老旧棚圈设施，加固结构和完善通风和排水系统。</w:t>
      </w:r>
    </w:p>
    <w:p w14:paraId="2BC6BB65">
      <w:pPr>
        <w:widowControl w:val="0"/>
        <w:adjustRightInd w:val="0"/>
        <w:snapToGrid w:val="0"/>
        <w:spacing w:line="560" w:lineRule="exact"/>
        <w:ind w:firstLine="640" w:firstLineChars="200"/>
        <w:jc w:val="both"/>
        <w:rPr>
          <w:rFonts w:hint="eastAsia"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s="方正仿宋_GBK"/>
          <w:b w:val="0"/>
          <w:bCs/>
          <w:color w:val="000000" w:themeColor="text1"/>
          <w:kern w:val="2"/>
          <w:sz w:val="32"/>
          <w:szCs w:val="32"/>
          <w:highlight w:val="none"/>
          <w:lang w:val="en-US" w:eastAsia="zh-CN" w:bidi="ar-SA"/>
          <w14:textFill>
            <w14:solidFill>
              <w14:schemeClr w14:val="tx1"/>
            </w14:solidFill>
          </w14:textFill>
        </w:rPr>
        <w:t>（2）</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对当地羊品种和奶牛品种改良，与专业的畜牧科研机构或企业合作，引进优良的品种，定期对羊和奶牛进行体检和疫病防治，保证奶牛的健康和产奶质量。</w:t>
      </w:r>
    </w:p>
    <w:p w14:paraId="0E58E0D8">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建立稳定的饲料供应渠道，根据养殖的牛羊数量和品种需求，采购优质的饲料原料。保障饲料供应。建设饲料储存设施，确保饲料的储存安全和质量。</w:t>
      </w:r>
    </w:p>
    <w:p w14:paraId="1D66192C">
      <w:pPr>
        <w:widowControl w:val="0"/>
        <w:adjustRightInd w:val="0"/>
        <w:snapToGrid w:val="0"/>
        <w:spacing w:line="560" w:lineRule="exact"/>
        <w:ind w:firstLine="640" w:firstLineChars="200"/>
        <w:jc w:val="both"/>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组织养殖户参加专业的养殖技术培训，应用现代化的养殖技术和设备，提高养殖效率和质量。</w:t>
      </w:r>
    </w:p>
    <w:p w14:paraId="00527445">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pPr>
      <w:bookmarkStart w:id="32" w:name="_Toc24720"/>
      <w:r>
        <w:rPr>
          <w:rFonts w:hint="eastAsia"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t>7.</w:t>
      </w:r>
      <w:r>
        <w:rPr>
          <w:rFonts w:hint="default"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t>畜牧特色养殖与产业升级综合发展项目</w:t>
      </w:r>
      <w:bookmarkEnd w:id="32"/>
    </w:p>
    <w:p w14:paraId="653F1ACE">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为促进畜牧产业高质量发展和提升产业竞争力，通过更新组织形式，提升品牌认证和加强基础设施建设推进产业发展赋能。</w:t>
      </w:r>
    </w:p>
    <w:p w14:paraId="1EB73CBA">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提高畜牧特色养殖发展规模化标准化程度。通过马产业规范化经营、精细化管理、科学化养殖，采取“党支部+领办合作社+牧户”组织模式，带动嘎查牧户实现增收。同时，深入学习先进经验，探索多种合作模式，实现科学化规模化养殖，逐步带动周边畜牧养殖业的快速发展，惠及更多的牧民群众。</w:t>
      </w:r>
    </w:p>
    <w:p w14:paraId="04710CC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在苏木大力创建枣骝马品牌认定工作的同时，通过发展壮大阿润策格专业合作社和致富带头人的形式，促进马产业发展。以嘎查支部或合作社为载体，鼓励牧民进行畜产品初加工和深加工，分类销售牛奶、羊奶、马奶等奶制品，积极探索畜牧业增收渠道，不断延伸产业链，逐步打造奶制品优势加工企业。</w:t>
      </w:r>
    </w:p>
    <w:p w14:paraId="3D9CD4F9">
      <w:pPr>
        <w:bidi w:val="0"/>
        <w:rPr>
          <w:rFonts w:hint="eastAsia" w:ascii="Times New Roman" w:hAnsi="Times New Roman" w:eastAsia="方正仿宋_GBK" w:cs="方正仿宋_GBK"/>
          <w:b w:val="0"/>
          <w:bCs/>
          <w:color w:val="000000" w:themeColor="text1"/>
          <w:kern w:val="2"/>
          <w:szCs w:val="32"/>
          <w:highlight w:val="no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（3）加大畜牧业基础设施建设，积极争取上级棚圈、饲草库、机井建设等项目，提高基础设施保障能力，持续推进畜牧业基础设施提档升级，继续巩固抵御自然灾害能力。</w:t>
      </w:r>
    </w:p>
    <w:p w14:paraId="2C1E32BD">
      <w:pPr>
        <w:widowControl w:val="0"/>
        <w:adjustRightInd w:val="0"/>
        <w:snapToGrid w:val="0"/>
        <w:spacing w:line="560" w:lineRule="exact"/>
        <w:ind w:firstLine="643" w:firstLineChars="200"/>
        <w:jc w:val="both"/>
        <w:outlineLvl w:val="2"/>
        <w:rPr>
          <w:rFonts w:hint="eastAsia" w:cs="方正仿宋_GBK"/>
          <w:b/>
          <w:bCs w:val="0"/>
          <w:color w:val="000000" w:themeColor="text1"/>
          <w:kern w:val="2"/>
          <w:sz w:val="32"/>
          <w:szCs w:val="32"/>
          <w:highlight w:val="none"/>
          <w:lang w:val="en-US" w:eastAsia="zh-CN" w:bidi="ar-SA"/>
          <w14:textFill>
            <w14:solidFill>
              <w14:schemeClr w14:val="tx1"/>
            </w14:solidFill>
          </w14:textFill>
        </w:rPr>
      </w:pPr>
      <w:bookmarkStart w:id="33" w:name="_Toc2711"/>
      <w:r>
        <w:rPr>
          <w:rFonts w:hint="eastAsia" w:cs="方正仿宋_GBK"/>
          <w:b/>
          <w:bCs w:val="0"/>
          <w:color w:val="000000" w:themeColor="text1"/>
          <w:kern w:val="2"/>
          <w:sz w:val="32"/>
          <w:szCs w:val="32"/>
          <w:highlight w:val="none"/>
          <w:lang w:val="en-US" w:eastAsia="zh-CN" w:bidi="ar-SA"/>
          <w14:textFill>
            <w14:solidFill>
              <w14:schemeClr w14:val="tx1"/>
            </w14:solidFill>
          </w14:textFill>
        </w:rPr>
        <w:t>8.构建集约化养殖体系</w:t>
      </w:r>
      <w:bookmarkEnd w:id="33"/>
    </w:p>
    <w:p w14:paraId="06E31089">
      <w:pPr>
        <w:widowControl w:val="0"/>
        <w:adjustRightInd w:val="0"/>
        <w:snapToGrid w:val="0"/>
        <w:spacing w:line="560" w:lineRule="exact"/>
        <w:ind w:firstLine="640" w:firstLineChars="200"/>
        <w:jc w:val="both"/>
        <w:rPr>
          <w:rFonts w:hint="eastAsia"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s="方正仿宋_GBK"/>
          <w:b w:val="0"/>
          <w:bCs/>
          <w:color w:val="000000" w:themeColor="text1"/>
          <w:kern w:val="2"/>
          <w:sz w:val="32"/>
          <w:szCs w:val="32"/>
          <w:highlight w:val="none"/>
          <w:lang w:val="en-US" w:eastAsia="zh-CN" w:bidi="ar-SA"/>
          <w14:textFill>
            <w14:solidFill>
              <w14:schemeClr w14:val="tx1"/>
            </w14:solidFill>
          </w14:textFill>
        </w:rPr>
        <w:t>发展</w:t>
      </w:r>
      <w:r>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乌兰额日格嘎查优质牧场集约化养殖与托管代养服务项目</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w:t>
      </w:r>
      <w:r>
        <w:rPr>
          <w:rFonts w:hint="eastAsia" w:cs="方正仿宋_GBK"/>
          <w:b w:val="0"/>
          <w:bCs/>
          <w:color w:val="000000" w:themeColor="text1"/>
          <w:kern w:val="2"/>
          <w:sz w:val="32"/>
          <w:szCs w:val="32"/>
          <w:highlight w:val="none"/>
          <w:lang w:val="en-US" w:eastAsia="zh-CN" w:bidi="ar-SA"/>
          <w14:textFill>
            <w14:solidFill>
              <w14:schemeClr w14:val="tx1"/>
            </w14:solidFill>
          </w14:textFill>
        </w:rPr>
        <w:t>聚焦牛羊两大牲畜集约化养殖目标，以提升资源利用率和生产力为导向，应用先进养殖技术和设备管理技术，推进养殖设施设备功能配套，构建高质高效集约化养殖体系。</w:t>
      </w:r>
    </w:p>
    <w:p w14:paraId="0B1B5E4F">
      <w:pPr>
        <w:pStyle w:val="2"/>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s="方正仿宋_GBK"/>
          <w:b w:val="0"/>
          <w:bCs/>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依托嘎查7万多亩优质牧场（其中集体草场4处），计划投资80万元实施养殖场饲料棚项目，建设2处1000平米标准化棚圈，达到集约化、规模化和标准化生产，年最大养殖2000余只羊。</w:t>
      </w:r>
    </w:p>
    <w:p w14:paraId="729B12E1">
      <w:pPr>
        <w:widowControl w:val="0"/>
        <w:adjustRightInd w:val="0"/>
        <w:snapToGrid w:val="0"/>
        <w:spacing w:line="560" w:lineRule="exact"/>
        <w:ind w:firstLine="640" w:firstLineChars="200"/>
        <w:jc w:val="both"/>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cs="方正仿宋_GBK"/>
          <w:b w:val="0"/>
          <w:bCs/>
          <w:color w:val="000000" w:themeColor="text1"/>
          <w:kern w:val="2"/>
          <w:sz w:val="32"/>
          <w:szCs w:val="32"/>
          <w:highlight w:val="none"/>
          <w:lang w:val="en-US" w:eastAsia="zh-CN" w:bidi="ar-SA"/>
          <w14:textFill>
            <w14:solidFill>
              <w14:schemeClr w14:val="tx1"/>
            </w14:solidFill>
          </w14:textFill>
        </w:rPr>
        <w:t>（2）</w:t>
      </w:r>
      <w:r>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采取“党支部＋合作社＋牧户”的经营模式，可将牧民的牛羊进行托管，充分利用辖区拥有的优质饲草料、科学饲喂配方和防疫技术，依托合作社现代化设施和规模化养殖，向牧民们提供育肥牛托管代养服务，牧民提供牛，合作社负责‘托管代养’，不仅壮大了集体经济，还能解决当地牧民的育肥、销售难题。</w:t>
      </w:r>
    </w:p>
    <w:tbl>
      <w:tblPr>
        <w:tblStyle w:val="24"/>
        <w:tblW w:w="8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3"/>
      </w:tblGrid>
      <w:tr w14:paraId="79BE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313" w:type="dxa"/>
            <w:shd w:val="clear" w:color="auto" w:fill="auto"/>
            <w:vAlign w:val="center"/>
          </w:tcPr>
          <w:p w14:paraId="401D09BF">
            <w:pPr>
              <w:tabs>
                <w:tab w:val="left" w:pos="468"/>
                <w:tab w:val="left" w:pos="558"/>
              </w:tabs>
              <w:topLinePunct/>
              <w:adjustRightInd w:val="0"/>
              <w:snapToGrid w:val="0"/>
              <w:jc w:val="center"/>
              <w:textAlignment w:val="center"/>
              <w:rPr>
                <w:rFonts w:hint="eastAsia" w:ascii="Times New Roman" w:hAnsi="Times New Roman" w:eastAsia="方正仿宋_GBK" w:cs="方正仿宋_GBK"/>
                <w:b/>
                <w:bCs/>
                <w:color w:val="000000" w:themeColor="text1"/>
                <w:sz w:val="30"/>
                <w:szCs w:val="30"/>
                <w:highlight w:val="none"/>
                <w:lang w:eastAsia="zh-CN"/>
                <w14:textFill>
                  <w14:solidFill>
                    <w14:schemeClr w14:val="tx1"/>
                  </w14:solidFill>
                </w14:textFill>
              </w:rPr>
            </w:pP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专栏一</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 xml:space="preserve">  </w:t>
            </w: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现代养殖体系建设</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重点</w:t>
            </w: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项目</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2024</w:t>
            </w:r>
            <w:r>
              <w:rPr>
                <w:rFonts w:hint="eastAsia" w:cs="方正仿宋_GBK"/>
                <w:b/>
                <w:bCs/>
                <w:color w:val="000000" w:themeColor="text1"/>
                <w:sz w:val="28"/>
                <w:szCs w:val="28"/>
                <w:highlight w:val="none"/>
                <w:lang w:val="en-US"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2026年</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p>
        </w:tc>
      </w:tr>
      <w:tr w14:paraId="0275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1" w:hRule="atLeast"/>
          <w:jc w:val="center"/>
        </w:trPr>
        <w:tc>
          <w:tcPr>
            <w:tcW w:w="8313" w:type="dxa"/>
          </w:tcPr>
          <w:p w14:paraId="589B82D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1</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乌拉特马舍饲养殖出栏基地。</w:t>
            </w:r>
            <w:r>
              <w:rPr>
                <w:rFonts w:hint="eastAsia" w:ascii="Times New Roman" w:hAnsi="Times New Roman" w:eastAsia="方正仿宋_GBK" w:cs="方正仿宋_GBK"/>
                <w:color w:val="000000" w:themeColor="text1"/>
                <w:sz w:val="24"/>
                <w:highlight w:val="none"/>
                <w14:textFill>
                  <w14:solidFill>
                    <w14:schemeClr w14:val="tx1"/>
                  </w14:solidFill>
                </w14:textFill>
              </w:rPr>
              <w:t>占地面积1万平方米，包括490平方米马棚、270平方米机具库、180平方米饲料库、360平方米草棚等，并配齐了排水、热力、消防、电力等基础设施。</w:t>
            </w:r>
          </w:p>
          <w:p w14:paraId="2BA0FB86">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2</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保种育种基地。</w:t>
            </w:r>
            <w:r>
              <w:rPr>
                <w:rFonts w:hint="eastAsia" w:ascii="Times New Roman" w:hAnsi="Times New Roman" w:eastAsia="方正仿宋_GBK" w:cs="方正仿宋_GBK"/>
                <w:color w:val="000000" w:themeColor="text1"/>
                <w:sz w:val="24"/>
                <w:highlight w:val="none"/>
                <w14:textFill>
                  <w14:solidFill>
                    <w14:schemeClr w14:val="tx1"/>
                  </w14:solidFill>
                </w14:textFill>
              </w:rPr>
              <w:t>分别在乌力吉图嘎查、巴音宝日嘎查建设两处</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保种育种基地，占地面积2123</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平方</w:t>
            </w:r>
            <w:r>
              <w:rPr>
                <w:rFonts w:hint="eastAsia" w:ascii="Times New Roman" w:hAnsi="Times New Roman" w:eastAsia="方正仿宋_GBK" w:cs="方正仿宋_GBK"/>
                <w:color w:val="000000" w:themeColor="text1"/>
                <w:sz w:val="24"/>
                <w:highlight w:val="none"/>
                <w14:textFill>
                  <w14:solidFill>
                    <w14:schemeClr w14:val="tx1"/>
                  </w14:solidFill>
                </w14:textFill>
              </w:rPr>
              <w:t>米。</w:t>
            </w:r>
          </w:p>
          <w:p w14:paraId="114FADB6">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3</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b/>
                <w:bCs/>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马场。</w:t>
            </w:r>
            <w:r>
              <w:rPr>
                <w:rFonts w:hint="eastAsia" w:ascii="Times New Roman" w:hAnsi="Times New Roman" w:eastAsia="方正仿宋_GBK" w:cs="方正仿宋_GBK"/>
                <w:color w:val="000000" w:themeColor="text1"/>
                <w:sz w:val="24"/>
                <w:highlight w:val="none"/>
                <w14:textFill>
                  <w14:solidFill>
                    <w14:schemeClr w14:val="tx1"/>
                  </w14:solidFill>
                </w14:textFill>
              </w:rPr>
              <w:t>建设一处</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马场，总占地7000亩，其中基础设施占地10000平方米（15亩）。该马场</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担负</w:t>
            </w:r>
            <w:r>
              <w:rPr>
                <w:rFonts w:hint="eastAsia" w:ascii="Times New Roman" w:hAnsi="Times New Roman" w:eastAsia="方正仿宋_GBK" w:cs="方正仿宋_GBK"/>
                <w:color w:val="000000" w:themeColor="text1"/>
                <w:sz w:val="24"/>
                <w:highlight w:val="none"/>
                <w14:textFill>
                  <w14:solidFill>
                    <w14:schemeClr w14:val="tx1"/>
                  </w14:solidFill>
                </w14:textFill>
              </w:rPr>
              <w:t>保种育种、马奶收集、</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研究、观光旅游</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等任务</w:t>
            </w:r>
            <w:r>
              <w:rPr>
                <w:rFonts w:hint="eastAsia" w:ascii="Times New Roman" w:hAnsi="Times New Roman" w:eastAsia="方正仿宋_GBK" w:cs="方正仿宋_GBK"/>
                <w:color w:val="000000" w:themeColor="text1"/>
                <w:sz w:val="24"/>
                <w:highlight w:val="none"/>
                <w14:textFill>
                  <w14:solidFill>
                    <w14:schemeClr w14:val="tx1"/>
                  </w14:solidFill>
                </w14:textFill>
              </w:rPr>
              <w:t>。</w:t>
            </w:r>
          </w:p>
          <w:p w14:paraId="1855D9A3">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4.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良种马繁育场</w:t>
            </w:r>
            <w:r>
              <w:rPr>
                <w:rFonts w:hint="eastAsia" w:ascii="Times New Roman" w:hAnsi="Times New Roman" w:eastAsia="方正仿宋_GBK" w:cs="方正仿宋_GBK"/>
                <w:color w:val="000000" w:themeColor="text1"/>
                <w:sz w:val="24"/>
                <w:highlight w:val="none"/>
                <w14:textFill>
                  <w14:solidFill>
                    <w14:schemeClr w14:val="tx1"/>
                  </w14:solidFill>
                </w14:textFill>
              </w:rPr>
              <w:t>。建立1个良种马繁育场，</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包括</w:t>
            </w:r>
            <w:r>
              <w:rPr>
                <w:rFonts w:hint="eastAsia" w:ascii="Times New Roman" w:hAnsi="Times New Roman" w:eastAsia="方正仿宋_GBK" w:cs="方正仿宋_GBK"/>
                <w:color w:val="000000" w:themeColor="text1"/>
                <w:sz w:val="24"/>
                <w:highlight w:val="none"/>
                <w14:textFill>
                  <w14:solidFill>
                    <w14:schemeClr w14:val="tx1"/>
                  </w14:solidFill>
                </w14:textFill>
              </w:rPr>
              <w:t>运动型马、乳用型马、肉用型马</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等类型</w:t>
            </w:r>
            <w:r>
              <w:rPr>
                <w:rFonts w:hint="eastAsia" w:ascii="Times New Roman" w:hAnsi="Times New Roman" w:eastAsia="方正仿宋_GBK" w:cs="方正仿宋_GBK"/>
                <w:color w:val="000000" w:themeColor="text1"/>
                <w:sz w:val="24"/>
                <w:highlight w:val="none"/>
                <w14:textFill>
                  <w14:solidFill>
                    <w14:schemeClr w14:val="tx1"/>
                  </w14:solidFill>
                </w14:textFill>
              </w:rPr>
              <w:t>，</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功能</w:t>
            </w:r>
            <w:r>
              <w:rPr>
                <w:rFonts w:hint="eastAsia" w:ascii="Times New Roman" w:hAnsi="Times New Roman" w:eastAsia="方正仿宋_GBK" w:cs="方正仿宋_GBK"/>
                <w:color w:val="000000" w:themeColor="text1"/>
                <w:sz w:val="24"/>
                <w:highlight w:val="none"/>
                <w14:textFill>
                  <w14:solidFill>
                    <w14:schemeClr w14:val="tx1"/>
                  </w14:solidFill>
                </w14:textFill>
              </w:rPr>
              <w:t>主要包括种马引进、扩繁场基础设施建设、育种防疫仪器设备、饲草料基地建设等。</w:t>
            </w:r>
          </w:p>
          <w:p w14:paraId="1D5BA04C">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5. 马术马匹驯养中心</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。马术马匹驯养中心内开设马匹驯养，马术礼仪、绅士教育、营地教育学习以及专业的体育训练板块，同时可满足举办国际、国内马术赛事要求。</w:t>
            </w:r>
          </w:p>
          <w:p w14:paraId="736B525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6. 全国马匹性能测定场</w:t>
            </w:r>
            <w:r>
              <w:rPr>
                <w:rFonts w:hint="eastAsia" w:ascii="Times New Roman" w:hAnsi="Times New Roman" w:eastAsia="方正仿宋_GBK" w:cs="方正仿宋_GBK"/>
                <w:b w:val="0"/>
                <w:bCs w:val="0"/>
                <w:color w:val="000000" w:themeColor="text1"/>
                <w:sz w:val="24"/>
                <w:highlight w:val="none"/>
                <w:lang w:val="en-US" w:eastAsia="zh-CN"/>
                <w14:textFill>
                  <w14:solidFill>
                    <w14:schemeClr w14:val="tx1"/>
                  </w14:solidFill>
                </w14:textFill>
              </w:rPr>
              <w:t>。在全国畜禽遗传资源普查中，有效发掘利用现有优质资源，提升自主创新，着力在保护我国地方马种的同时，对本土马种进行经济利用研究和开发，建设符合条件的全国马匹性能测定场就尤为重要，有利于助推现代马产业可持续健康发展，为遗传资源的保护、质量的提升、培育新品种开发和利用奠定坚实基础。</w:t>
            </w:r>
          </w:p>
          <w:p w14:paraId="2FCA880A">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Times New Roman" w:hAnsi="Times New Roman" w:eastAsia="方正仿宋_GBK" w:cs="方正仿宋_GBK"/>
                <w:b/>
                <w:bCs/>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7</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b/>
                <w:bCs/>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命名项目。</w:t>
            </w:r>
            <w:r>
              <w:rPr>
                <w:rFonts w:hint="eastAsia" w:ascii="Times New Roman" w:hAnsi="Times New Roman" w:eastAsia="方正仿宋_GBK" w:cs="方正仿宋_GBK"/>
                <w:color w:val="000000" w:themeColor="text1"/>
                <w:sz w:val="24"/>
                <w:highlight w:val="none"/>
                <w14:textFill>
                  <w14:solidFill>
                    <w14:schemeClr w14:val="tx1"/>
                  </w14:solidFill>
                </w14:textFill>
              </w:rPr>
              <w:t>由企业培育20匹</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，进行乌拉特马保种育种，以此开展畜禽遗传采集和评定，申报乌拉特马命名工作。</w:t>
            </w:r>
          </w:p>
          <w:p w14:paraId="5AD6ACB9">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bCs/>
                <w:color w:val="000000" w:themeColor="text1"/>
                <w:sz w:val="24"/>
                <w:highlight w:val="none"/>
                <w14:textFill>
                  <w14:solidFill>
                    <w14:schemeClr w14:val="tx1"/>
                  </w14:solidFill>
                </w14:textFill>
              </w:rPr>
            </w:pPr>
            <w:r>
              <w:rPr>
                <w:rFonts w:hint="eastAsia" w:ascii="Times New Roman" w:hAnsi="Times New Roman" w:eastAsia="方正仿宋_GBK" w:cs="方正仿宋_GBK"/>
                <w:b/>
                <w:color w:val="000000" w:themeColor="text1"/>
                <w:sz w:val="24"/>
                <w:highlight w:val="none"/>
                <w:lang w:val="en-US" w:eastAsia="zh-CN"/>
                <w14:textFill>
                  <w14:solidFill>
                    <w14:schemeClr w14:val="tx1"/>
                  </w14:solidFill>
                </w14:textFill>
              </w:rPr>
              <w:t>8</w:t>
            </w:r>
            <w:r>
              <w:rPr>
                <w:rFonts w:hint="eastAsia" w:ascii="Times New Roman" w:hAnsi="Times New Roman" w:eastAsia="方正仿宋_GBK" w:cs="方正仿宋_GBK"/>
                <w:b/>
                <w:color w:val="000000" w:themeColor="text1"/>
                <w:sz w:val="24"/>
                <w:highlight w:val="none"/>
                <w14:textFill>
                  <w14:solidFill>
                    <w14:schemeClr w14:val="tx1"/>
                  </w14:solidFill>
                </w14:textFill>
              </w:rPr>
              <w:t>. 购马项目。</w:t>
            </w:r>
            <w:r>
              <w:rPr>
                <w:rFonts w:hint="eastAsia" w:ascii="Times New Roman" w:hAnsi="Times New Roman" w:eastAsia="方正仿宋_GBK" w:cs="方正仿宋_GBK"/>
                <w:bCs/>
                <w:color w:val="000000" w:themeColor="text1"/>
                <w:sz w:val="24"/>
                <w:highlight w:val="none"/>
                <w14:textFill>
                  <w14:solidFill>
                    <w14:schemeClr w14:val="tx1"/>
                  </w14:solidFill>
                </w14:textFill>
              </w:rPr>
              <w:t>购买70匹带驹母马（纯品种</w:t>
            </w:r>
            <w:r>
              <w:rPr>
                <w:rFonts w:hint="eastAsia" w:ascii="Times New Roman" w:hAnsi="Times New Roman" w:eastAsia="方正仿宋_GBK" w:cs="方正仿宋_GBK"/>
                <w:bCs/>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Cs/>
                <w:color w:val="000000" w:themeColor="text1"/>
                <w:sz w:val="24"/>
                <w:highlight w:val="none"/>
                <w14:textFill>
                  <w14:solidFill>
                    <w14:schemeClr w14:val="tx1"/>
                  </w14:solidFill>
                </w14:textFill>
              </w:rPr>
              <w:t>乌拉特马</w:t>
            </w:r>
            <w:r>
              <w:rPr>
                <w:rFonts w:hint="eastAsia" w:ascii="Times New Roman" w:hAnsi="Times New Roman" w:eastAsia="方正仿宋_GBK" w:cs="方正仿宋_GBK"/>
                <w:bCs/>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Cs/>
                <w:color w:val="000000" w:themeColor="text1"/>
                <w:sz w:val="24"/>
                <w:highlight w:val="none"/>
                <w14:textFill>
                  <w14:solidFill>
                    <w14:schemeClr w14:val="tx1"/>
                  </w14:solidFill>
                </w14:textFill>
              </w:rPr>
              <w:t>每对1.5万元，共计105万元）、8匹种公马（纯品种乌拉特种马每匹2.5万元，共计20万元）。</w:t>
            </w:r>
          </w:p>
          <w:p w14:paraId="654B68F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9</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乌拉特中旗阿润策格乳业专业合作社建设项目。</w:t>
            </w:r>
            <w:r>
              <w:rPr>
                <w:rFonts w:hint="eastAsia" w:ascii="Times New Roman" w:hAnsi="Times New Roman" w:eastAsia="方正仿宋_GBK" w:cs="方正仿宋_GBK"/>
                <w:color w:val="000000" w:themeColor="text1"/>
                <w:sz w:val="24"/>
                <w:highlight w:val="none"/>
                <w14:textFill>
                  <w14:solidFill>
                    <w14:schemeClr w14:val="tx1"/>
                  </w14:solidFill>
                </w14:textFill>
              </w:rPr>
              <w:t>新建一处720㎡马厩及2000㎡活动圈，新建一处新建小型粪污处理厂（含纳米膜设备）及配套设施，新建一处400㎡消加快食品生产许可证办理毒检疫监控室，新建一处600㎡青储窖。</w:t>
            </w:r>
          </w:p>
          <w:p w14:paraId="58AA41A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Times New Roman" w:hAnsi="Times New Roman" w:eastAsia="方正仿宋_GBK" w:cs="方正仿宋_GBK"/>
                <w:b/>
                <w:bCs/>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10.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巴音宝日嘎查马奶收集站。</w:t>
            </w:r>
            <w:r>
              <w:rPr>
                <w:rFonts w:hint="eastAsia" w:ascii="Times New Roman" w:hAnsi="Times New Roman" w:eastAsia="方正仿宋_GBK" w:cs="方正仿宋_GBK"/>
                <w:color w:val="000000" w:themeColor="text1"/>
                <w:sz w:val="24"/>
                <w:highlight w:val="none"/>
                <w14:textFill>
                  <w14:solidFill>
                    <w14:schemeClr w14:val="tx1"/>
                  </w14:solidFill>
                </w14:textFill>
              </w:rPr>
              <w:t>建设马奶收集站（210平米）、设备间及化验室（46平米），配套给排水、电力等基础设施。</w:t>
            </w:r>
          </w:p>
          <w:p w14:paraId="1CC4A0C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Times New Roman" w:hAnsi="Times New Roman" w:eastAsia="方正仿宋_GBK" w:cs="方正仿宋_GBK"/>
                <w:bCs/>
                <w:color w:val="000000" w:themeColor="text1"/>
                <w:sz w:val="24"/>
                <w:highlight w:val="none"/>
                <w14:textFill>
                  <w14:solidFill>
                    <w14:schemeClr w14:val="tx1"/>
                  </w14:solidFill>
                </w14:textFill>
              </w:rPr>
            </w:pPr>
            <w:r>
              <w:rPr>
                <w:rFonts w:hint="eastAsia" w:ascii="Times New Roman" w:hAnsi="Times New Roman" w:eastAsia="方正仿宋_GBK" w:cs="方正仿宋_GBK"/>
                <w:b/>
                <w:color w:val="000000" w:themeColor="text1"/>
                <w:sz w:val="24"/>
                <w:highlight w:val="none"/>
                <w:lang w:val="en-US" w:eastAsia="zh-CN"/>
                <w14:textFill>
                  <w14:solidFill>
                    <w14:schemeClr w14:val="tx1"/>
                  </w14:solidFill>
                </w14:textFill>
              </w:rPr>
              <w:t>11</w:t>
            </w:r>
            <w:r>
              <w:rPr>
                <w:rFonts w:hint="eastAsia" w:ascii="Times New Roman" w:hAnsi="Times New Roman" w:eastAsia="方正仿宋_GBK" w:cs="方正仿宋_GBK"/>
                <w:b/>
                <w:color w:val="000000" w:themeColor="text1"/>
                <w:sz w:val="24"/>
                <w:highlight w:val="none"/>
                <w14:textFill>
                  <w14:solidFill>
                    <w14:schemeClr w14:val="tx1"/>
                  </w14:solidFill>
                </w14:textFill>
              </w:rPr>
              <w:t>. 马奶收集配套设施项目。</w:t>
            </w:r>
            <w:r>
              <w:rPr>
                <w:rFonts w:hint="eastAsia" w:ascii="Times New Roman" w:hAnsi="Times New Roman" w:eastAsia="方正仿宋_GBK" w:cs="方正仿宋_GBK"/>
                <w:bCs/>
                <w:color w:val="000000" w:themeColor="text1"/>
                <w:sz w:val="24"/>
                <w:highlight w:val="none"/>
                <w14:textFill>
                  <w14:solidFill>
                    <w14:schemeClr w14:val="tx1"/>
                  </w14:solidFill>
                </w14:textFill>
              </w:rPr>
              <w:t>计划与20户牧户签订购奶合同，配套冷藏柜、挤奶器等基础设备，在为马奶场提供新鲜奶源的同时带动养马户发展规模化、科学化养殖，发展现代化畜牧业。</w:t>
            </w:r>
          </w:p>
          <w:p w14:paraId="1A9A55F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12.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马医院。</w:t>
            </w:r>
            <w:r>
              <w:rPr>
                <w:rFonts w:hint="eastAsia" w:ascii="Times New Roman" w:hAnsi="Times New Roman" w:eastAsia="方正仿宋_GBK" w:cs="方正仿宋_GBK"/>
                <w:color w:val="000000" w:themeColor="text1"/>
                <w:sz w:val="24"/>
                <w:highlight w:val="none"/>
                <w14:textFill>
                  <w14:solidFill>
                    <w14:schemeClr w14:val="tx1"/>
                  </w14:solidFill>
                </w14:textFill>
              </w:rPr>
              <w:t>在现有的动物医院基础上进行扩建，整合马兽医资源，开展马匹改良育种，作为运动马匹集治疗、理疗、护理及康复训练为一体的多功能型马医院</w:t>
            </w:r>
            <w:r>
              <w:rPr>
                <w:rFonts w:hint="eastAsia" w:ascii="Times New Roman" w:hAnsi="Times New Roman" w:eastAsia="方正仿宋_GBK" w:cs="方正仿宋_GBK"/>
                <w:color w:val="000000" w:themeColor="text1"/>
                <w:sz w:val="24"/>
                <w:highlight w:val="none"/>
                <w:lang w:eastAsia="zh-CN"/>
                <w14:textFill>
                  <w14:solidFill>
                    <w14:schemeClr w14:val="tx1"/>
                  </w14:solidFill>
                </w14:textFill>
              </w:rPr>
              <w:t>。</w:t>
            </w:r>
          </w:p>
        </w:tc>
      </w:tr>
    </w:tbl>
    <w:p w14:paraId="40EC5E03">
      <w:pPr>
        <w:overflowPunct w:val="0"/>
        <w:spacing w:line="560" w:lineRule="exact"/>
        <w:ind w:firstLine="664" w:firstLineChars="200"/>
        <w:outlineLvl w:val="1"/>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34" w:name="_Toc5323"/>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二</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）加快发展</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畜牧</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产品加工业</w:t>
      </w:r>
      <w:bookmarkEnd w:id="34"/>
    </w:p>
    <w:p w14:paraId="7C63F78B">
      <w:pPr>
        <w:widowControl w:val="0"/>
        <w:adjustRightInd w:val="0"/>
        <w:snapToGrid w:val="0"/>
        <w:spacing w:line="560" w:lineRule="exact"/>
        <w:ind w:firstLine="643" w:firstLineChars="200"/>
        <w:jc w:val="both"/>
        <w:outlineLvl w:val="2"/>
        <w:rPr>
          <w:rFonts w:hint="default"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pPr>
      <w:bookmarkStart w:id="35" w:name="_Toc24069"/>
      <w:bookmarkStart w:id="36" w:name="_Toc15225"/>
      <w:r>
        <w:rPr>
          <w:rFonts w:hint="eastAsia"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t>1.发展马产品加工业</w:t>
      </w:r>
      <w:bookmarkEnd w:id="35"/>
    </w:p>
    <w:p w14:paraId="20C78FFB">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马产品加工业规模大、发展潜力大，提升马产品加工业发展水平是实现现代马业高质量发展的重大任务之一。以市场为导向，以企业为主体，通过政策引导、项目支持，扶持一批产业关联度大、技术水平高、产品科技含量高、带动能力强的马生物制品、马肉、马乳、马副产品精深加工、马房设施设备生产加工等企业，打造一批全国知名马产品品牌，促进马产业及关联产业聚集，提高马产品附加值，延伸马产业链，发挥产业集群效应，将巴音乌兰打造成国内重要的马产品加工销售基地。</w:t>
      </w:r>
    </w:p>
    <w:p w14:paraId="35210787">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1）扶持培育一批产业关联度强、科技含量高、带动能力强的马生物制品、马产品精深加工企业。开发马生物制品、马乳制品、马肉制品、皮革制品等系列产品，充分挖掘马产品食用、药用及保健价值，推广马奶、马骨粉、马血清等产品在医药领域应用。</w:t>
      </w:r>
    </w:p>
    <w:p w14:paraId="4325A5C2">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（2）在巴音乌兰苏木努和日乐嘎查建设孕马养殖基地、孕马尿采集基地，逐渐扩大孕马尿结合雌激素加工规模，提高附加值。同时，选址在条件成熟区域开展马专用饲草料加工，提高饲草料转化效率。</w:t>
      </w:r>
    </w:p>
    <w:p w14:paraId="491C73BB">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（3）制定和完善马产品生产、加工、销售等环节的关键技术和管理服务规范与标准。</w:t>
      </w:r>
    </w:p>
    <w:p w14:paraId="35874729">
      <w:pPr>
        <w:widowControl w:val="0"/>
        <w:adjustRightInd w:val="0"/>
        <w:snapToGrid w:val="0"/>
        <w:spacing w:line="560" w:lineRule="exact"/>
        <w:ind w:firstLine="640" w:firstLineChars="200"/>
        <w:jc w:val="both"/>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（4）</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阿日胡都格嘎查马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具加工。从民族手工艺品制作及销售入手，组织本地牧民开展传统乌拉特马具量化生产及销售部分订制产品，带动牧民就业、创业，增收。</w:t>
      </w:r>
    </w:p>
    <w:p w14:paraId="7C737DA8">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w:t>
      </w:r>
      <w:r>
        <w:rPr>
          <w:rFonts w:hint="eastAsia" w:cs="方正仿宋_GBK"/>
          <w:b w:val="0"/>
          <w:bCs/>
          <w:color w:val="000000" w:themeColor="text1"/>
          <w:kern w:val="2"/>
          <w:sz w:val="32"/>
          <w:szCs w:val="32"/>
          <w:highlight w:val="none"/>
          <w:lang w:val="en-US" w:eastAsia="zh-CN" w:bidi="ar-SA"/>
          <w14:textFill>
            <w14:solidFill>
              <w14:schemeClr w14:val="tx1"/>
            </w14:solidFill>
          </w14:textFill>
        </w:rPr>
        <w:t>5</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）鼓励支持行业协会及经营主体申请注册马品种及相关产品地理标志商标，申请认定驰名商标，创建知名品牌。</w:t>
      </w:r>
    </w:p>
    <w:p w14:paraId="6C885318">
      <w:pPr>
        <w:widowControl w:val="0"/>
        <w:adjustRightInd w:val="0"/>
        <w:snapToGrid w:val="0"/>
        <w:spacing w:line="560" w:lineRule="exact"/>
        <w:ind w:firstLine="640" w:firstLineChars="200"/>
        <w:jc w:val="both"/>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w:t>
      </w:r>
      <w:r>
        <w:rPr>
          <w:rFonts w:hint="eastAsia" w:cs="方正仿宋_GBK"/>
          <w:b w:val="0"/>
          <w:bCs/>
          <w:color w:val="000000" w:themeColor="text1"/>
          <w:kern w:val="2"/>
          <w:sz w:val="32"/>
          <w:szCs w:val="32"/>
          <w:highlight w:val="none"/>
          <w:lang w:val="en-US" w:eastAsia="zh-CN" w:bidi="ar-SA"/>
          <w14:textFill>
            <w14:solidFill>
              <w14:schemeClr w14:val="tx1"/>
            </w14:solidFill>
          </w14:textFill>
        </w:rPr>
        <w:t>6</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）对重大马产品加工项目用地，按年度土地使用计划予以保障供应。</w:t>
      </w:r>
    </w:p>
    <w:bookmarkEnd w:id="36"/>
    <w:tbl>
      <w:tblPr>
        <w:tblStyle w:val="24"/>
        <w:tblW w:w="8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7"/>
      </w:tblGrid>
      <w:tr w14:paraId="365E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 w:hRule="atLeast"/>
          <w:jc w:val="center"/>
        </w:trPr>
        <w:tc>
          <w:tcPr>
            <w:tcW w:w="8347" w:type="dxa"/>
            <w:shd w:val="clear" w:color="auto" w:fill="auto"/>
          </w:tcPr>
          <w:p w14:paraId="0475E483">
            <w:pPr>
              <w:tabs>
                <w:tab w:val="left" w:pos="468"/>
                <w:tab w:val="left" w:pos="558"/>
              </w:tabs>
              <w:topLinePunct/>
              <w:adjustRightInd w:val="0"/>
              <w:snapToGrid w:val="0"/>
              <w:spacing w:line="560" w:lineRule="exact"/>
              <w:jc w:val="center"/>
              <w:textAlignment w:val="center"/>
              <w:rPr>
                <w:rFonts w:ascii="Times New Roman" w:hAnsi="Times New Roman" w:eastAsia="方正仿宋_GBK" w:cs="方正仿宋_GBK"/>
                <w:b/>
                <w:bCs/>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 xml:space="preserve">专栏二  </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马产品加工业发展重点</w:t>
            </w: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项目</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2024</w:t>
            </w:r>
            <w:r>
              <w:rPr>
                <w:rFonts w:hint="eastAsia" w:cs="方正仿宋_GBK"/>
                <w:b/>
                <w:bCs/>
                <w:color w:val="000000" w:themeColor="text1"/>
                <w:sz w:val="28"/>
                <w:szCs w:val="28"/>
                <w:highlight w:val="none"/>
                <w:lang w:val="en-US"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2026年</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p>
        </w:tc>
      </w:tr>
      <w:tr w14:paraId="4B83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347" w:type="dxa"/>
          </w:tcPr>
          <w:p w14:paraId="1B464E95">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482" w:firstLineChars="200"/>
              <w:textAlignment w:val="auto"/>
              <w:rPr>
                <w:rFonts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14:textFill>
                  <w14:solidFill>
                    <w14:schemeClr w14:val="tx1"/>
                  </w14:solidFill>
                </w14:textFill>
              </w:rPr>
              <w:t>酸马奶标准化生产加工车间。</w:t>
            </w:r>
            <w:r>
              <w:rPr>
                <w:rFonts w:hint="eastAsia" w:ascii="Times New Roman" w:hAnsi="Times New Roman" w:eastAsia="方正仿宋_GBK" w:cs="方正仿宋_GBK"/>
                <w:color w:val="000000" w:themeColor="text1"/>
                <w:sz w:val="24"/>
                <w:highlight w:val="none"/>
                <w14:textFill>
                  <w14:solidFill>
                    <w14:schemeClr w14:val="tx1"/>
                  </w14:solidFill>
                </w14:textFill>
              </w:rPr>
              <w:t>建成</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1</w:t>
            </w:r>
            <w:r>
              <w:rPr>
                <w:rFonts w:hint="eastAsia" w:ascii="Times New Roman" w:hAnsi="Times New Roman" w:eastAsia="方正仿宋_GBK" w:cs="方正仿宋_GBK"/>
                <w:color w:val="000000" w:themeColor="text1"/>
                <w:sz w:val="24"/>
                <w:highlight w:val="none"/>
                <w14:textFill>
                  <w14:solidFill>
                    <w14:schemeClr w14:val="tx1"/>
                  </w14:solidFill>
                </w14:textFill>
              </w:rPr>
              <w:t>处酸马奶标准化生产加工车间，通过智能化的马奶深加工设备，发展壮大酸马奶特色产业。</w:t>
            </w:r>
          </w:p>
          <w:p w14:paraId="2B857EAE">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82" w:firstLineChars="200"/>
              <w:textAlignment w:val="auto"/>
              <w:rPr>
                <w:rFonts w:hint="eastAsia" w:ascii="Times New Roman" w:hAnsi="Times New Roman" w:eastAsia="方正仿宋_GBK" w:cs="方正仿宋_GBK"/>
                <w:b/>
                <w:bCs/>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培育马产品生产加工龙头企业</w:t>
            </w:r>
            <w:r>
              <w:rPr>
                <w:rFonts w:hint="eastAsia" w:ascii="Times New Roman" w:hAnsi="Times New Roman" w:eastAsia="方正仿宋_GBK" w:cs="方正仿宋_GBK"/>
                <w:b w:val="0"/>
                <w:bCs w:val="0"/>
                <w:color w:val="000000" w:themeColor="text1"/>
                <w:sz w:val="24"/>
                <w:highlight w:val="none"/>
                <w:lang w:val="en-US" w:eastAsia="zh-CN"/>
                <w14:textFill>
                  <w14:solidFill>
                    <w14:schemeClr w14:val="tx1"/>
                  </w14:solidFill>
                </w14:textFill>
              </w:rPr>
              <w:t>。</w:t>
            </w:r>
            <w:r>
              <w:rPr>
                <w:rFonts w:hint="eastAsia" w:ascii="Times New Roman" w:hAnsi="Times New Roman" w:eastAsia="方正仿宋_GBK" w:cs="方正仿宋_GBK"/>
                <w:b w:val="0"/>
                <w:bCs w:val="0"/>
                <w:color w:val="000000" w:themeColor="text1"/>
                <w:sz w:val="24"/>
                <w:highlight w:val="none"/>
                <w14:textFill>
                  <w14:solidFill>
                    <w14:schemeClr w14:val="tx1"/>
                  </w14:solidFill>
                </w14:textFill>
              </w:rPr>
              <w:t>支持阿度马业公司加快技术改造升级，保障酸马奶加工车间生产经营，加快食品生产许可证办理，举办</w:t>
            </w:r>
            <w:r>
              <w:rPr>
                <w:rFonts w:hint="eastAsia" w:ascii="Times New Roman" w:hAnsi="Times New Roman" w:eastAsia="方正仿宋_GBK" w:cs="方正仿宋_GBK"/>
                <w:b w:val="0"/>
                <w:bCs w:val="0"/>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val="0"/>
                <w:bCs w:val="0"/>
                <w:color w:val="000000" w:themeColor="text1"/>
                <w:sz w:val="24"/>
                <w:highlight w:val="none"/>
                <w14:textFill>
                  <w14:solidFill>
                    <w14:schemeClr w14:val="tx1"/>
                  </w14:solidFill>
                </w14:textFill>
              </w:rPr>
              <w:t>马乳产品发布会</w:t>
            </w:r>
            <w:r>
              <w:rPr>
                <w:rFonts w:hint="eastAsia" w:ascii="Times New Roman" w:hAnsi="Times New Roman" w:eastAsia="方正仿宋_GBK" w:cs="方正仿宋_GBK"/>
                <w:b w:val="0"/>
                <w:bCs w:val="0"/>
                <w:color w:val="000000" w:themeColor="text1"/>
                <w:sz w:val="24"/>
                <w:highlight w:val="none"/>
                <w:lang w:eastAsia="zh-CN"/>
                <w14:textFill>
                  <w14:solidFill>
                    <w14:schemeClr w14:val="tx1"/>
                  </w14:solidFill>
                </w14:textFill>
              </w:rPr>
              <w:t>”</w:t>
            </w:r>
            <w:r>
              <w:rPr>
                <w:rFonts w:hint="eastAsia" w:ascii="Times New Roman" w:hAnsi="Times New Roman" w:eastAsia="方正仿宋_GBK" w:cs="方正仿宋_GBK"/>
                <w:b w:val="0"/>
                <w:bCs w:val="0"/>
                <w:color w:val="000000" w:themeColor="text1"/>
                <w:sz w:val="24"/>
                <w:highlight w:val="none"/>
                <w14:textFill>
                  <w14:solidFill>
                    <w14:schemeClr w14:val="tx1"/>
                  </w14:solidFill>
                </w14:textFill>
              </w:rPr>
              <w:t>，全力推进酸马奶、奶粉、冻干粉等系列产品上市工作，进一步丰富产品矩阵，加强品牌竞争力，积极申报自治区民贸企业，推动企业成为市、自治区级马产业龙头企业。</w:t>
            </w:r>
          </w:p>
          <w:p w14:paraId="3FC2597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14:textFill>
                  <w14:solidFill>
                    <w14:schemeClr w14:val="tx1"/>
                  </w14:solidFill>
                </w14:textFill>
              </w:rPr>
              <w:t>3.</w:t>
            </w:r>
            <w:r>
              <w:rPr>
                <w:rFonts w:hint="eastAsia" w:ascii="Times New Roman" w:hAnsi="Times New Roman" w:eastAsia="方正仿宋_GBK" w:cs="方正仿宋_GBK"/>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马肉深加工及马油护肤品生产加工厂项目。</w:t>
            </w:r>
            <w:r>
              <w:rPr>
                <w:rFonts w:hint="eastAsia" w:ascii="Times New Roman" w:hAnsi="Times New Roman" w:eastAsia="方正仿宋_GBK" w:cs="方正仿宋_GBK"/>
                <w:color w:val="000000" w:themeColor="text1"/>
                <w:sz w:val="24"/>
                <w:highlight w:val="none"/>
                <w14:textFill>
                  <w14:solidFill>
                    <w14:schemeClr w14:val="tx1"/>
                  </w14:solidFill>
                </w14:textFill>
              </w:rPr>
              <w:t>新建仓储区800㎡，冷库200㎡，原料生产间800㎡，消毒间100㎡，实验室100㎡，化妆品生产车间，进行马肉深加工及马油护肤品生产加工。</w:t>
            </w:r>
          </w:p>
          <w:p w14:paraId="5D0B3CB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b w:val="0"/>
                <w:bCs w:val="0"/>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4.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孕马尿标准化采集基地</w:t>
            </w:r>
            <w:r>
              <w:rPr>
                <w:rFonts w:hint="eastAsia" w:ascii="Times New Roman" w:hAnsi="Times New Roman" w:eastAsia="方正仿宋_GBK" w:cs="方正仿宋_GBK"/>
                <w:b w:val="0"/>
                <w:bCs w:val="0"/>
                <w:color w:val="000000" w:themeColor="text1"/>
                <w:sz w:val="24"/>
                <w:highlight w:val="none"/>
                <w14:textFill>
                  <w14:solidFill>
                    <w14:schemeClr w14:val="tx1"/>
                  </w14:solidFill>
                </w14:textFill>
              </w:rPr>
              <w:t>。发挥孕马尿与雌激素附加值高的优势，建设或改建孕马尿标准化采集基地。内容主要包括建设或改建孕马养殖区及采集马厩的基础设施、运动场和其他基础设备等。</w:t>
            </w:r>
          </w:p>
          <w:p w14:paraId="239D876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5</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巴音乌兰苏木孕马尿提取分离结合雌激素项目。</w:t>
            </w:r>
            <w:r>
              <w:rPr>
                <w:rFonts w:hint="eastAsia" w:ascii="Times New Roman" w:hAnsi="Times New Roman" w:eastAsia="方正仿宋_GBK" w:cs="方正仿宋_GBK"/>
                <w:color w:val="000000" w:themeColor="text1"/>
                <w:sz w:val="24"/>
                <w:highlight w:val="none"/>
                <w14:textFill>
                  <w14:solidFill>
                    <w14:schemeClr w14:val="tx1"/>
                  </w14:solidFill>
                </w14:textFill>
              </w:rPr>
              <w:t>新建孕马尿厂房1座，建筑面积为1000平方米-1600平方米等相关附属设施。</w:t>
            </w:r>
          </w:p>
          <w:p w14:paraId="19760F9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6. 马专用饲草料加工基地</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。建设1处加工苜蓿、燕麦、大麦、梯牧草等马专用饲草料加工基地，包括饲料调制室、储存间、草料室、饲料加工车间等。</w:t>
            </w:r>
          </w:p>
          <w:p w14:paraId="228FCC2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7</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博士工作站、科技小院。</w:t>
            </w:r>
            <w:r>
              <w:rPr>
                <w:rFonts w:hint="eastAsia" w:ascii="Times New Roman" w:hAnsi="Times New Roman" w:eastAsia="方正仿宋_GBK" w:cs="方正仿宋_GBK"/>
                <w:color w:val="000000" w:themeColor="text1"/>
                <w:sz w:val="24"/>
                <w:highlight w:val="none"/>
                <w14:textFill>
                  <w14:solidFill>
                    <w14:schemeClr w14:val="tx1"/>
                  </w14:solidFill>
                </w14:textFill>
              </w:rPr>
              <w:t>新建</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1</w:t>
            </w:r>
            <w:r>
              <w:rPr>
                <w:rFonts w:hint="eastAsia" w:ascii="Times New Roman" w:hAnsi="Times New Roman" w:eastAsia="方正仿宋_GBK" w:cs="方正仿宋_GBK"/>
                <w:color w:val="000000" w:themeColor="text1"/>
                <w:sz w:val="24"/>
                <w:highlight w:val="none"/>
                <w14:textFill>
                  <w14:solidFill>
                    <w14:schemeClr w14:val="tx1"/>
                  </w14:solidFill>
                </w14:textFill>
              </w:rPr>
              <w:t>处博士工作站、科技小院，派驻科技特派员进行马产品研究。</w:t>
            </w:r>
          </w:p>
        </w:tc>
      </w:tr>
    </w:tbl>
    <w:p w14:paraId="177E0C2A">
      <w:pPr>
        <w:widowControl w:val="0"/>
        <w:adjustRightInd w:val="0"/>
        <w:snapToGrid w:val="0"/>
        <w:spacing w:line="560" w:lineRule="exact"/>
        <w:ind w:firstLine="643" w:firstLineChars="200"/>
        <w:jc w:val="both"/>
        <w:outlineLvl w:val="2"/>
        <w:rPr>
          <w:rFonts w:hint="default"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pPr>
      <w:bookmarkStart w:id="37" w:name="_Toc2243"/>
      <w:r>
        <w:rPr>
          <w:rFonts w:hint="eastAsia" w:ascii="Times New Roman" w:hAnsi="Times New Roman" w:eastAsia="方正仿宋_GBK" w:cs="方正仿宋_GBK"/>
          <w:b/>
          <w:bCs w:val="0"/>
          <w:color w:val="000000" w:themeColor="text1"/>
          <w:kern w:val="2"/>
          <w:sz w:val="32"/>
          <w:szCs w:val="32"/>
          <w:highlight w:val="none"/>
          <w:lang w:val="en-US" w:eastAsia="zh-CN" w:bidi="ar-SA"/>
          <w14:textFill>
            <w14:solidFill>
              <w14:schemeClr w14:val="tx1"/>
            </w14:solidFill>
          </w14:textFill>
        </w:rPr>
        <w:t>2.畜牧产品加工业</w:t>
      </w:r>
      <w:bookmarkEnd w:id="37"/>
    </w:p>
    <w:p w14:paraId="4CD93FA9">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巴音乌兰苏木以马产业为特色发展核心，牛羊产业底子厚但链条短，有存栏但缺加工。在发展马产业的同时，促进牛羊产品加工成熟，构建多元化产业格局。</w:t>
      </w:r>
    </w:p>
    <w:p w14:paraId="20940E49">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（1）落实推进巴音乌兰苏木徐木匠食品有限公司福味源食品加工项目。主要研发生产农畜产品深加工，羊牛肉类罐头，锅茶系列产品。</w:t>
      </w:r>
    </w:p>
    <w:p w14:paraId="28FC2920">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（2）推进牛羊产业加工业基础设施建设，在东达乌素嘎查加工场配备冷库房设施、监控设备、消毒设备、真空包装设备等系列设备。</w:t>
      </w:r>
    </w:p>
    <w:p w14:paraId="7FCD7EEF">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（3）在努和日乐嘎查建设风干肉项目。配备加工车间、冷库车间、烘干车间、晾晒车间，生产加工风干羊肉、风干“水晶”羊背、风干羊骨、风干牛肉等100余吨肉食品</w:t>
      </w:r>
    </w:p>
    <w:p w14:paraId="47E2074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（4）在巴音图克木嘎查培育德系西门塔尔牛养殖及奶制品加工项目。配套新建挤奶车间，挤奶设备等，奶制品加工设备，牛奶加工作坊。</w:t>
      </w:r>
    </w:p>
    <w:p w14:paraId="7244CD60">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在呼鲁斯嘎查建设草原味韵体验坊项目。建设民族特色手工食品作坊，打造游牧文化特色餐饮服务，深入挖掘民族传统美食文化，精心研发各类传统菜品，如烤全羊、手把肉、奶茶等。对半成品加工与销售，设立旗体验店，按照民族特色和品牌形象进行店铺装修，并在体验店内设置丰富的产品展示区，将民族特色手工食品、餐饮成品以及半成品进行陈列展示，定期在体验店内举办各类体验活动，让消费者参与进去。</w:t>
      </w:r>
    </w:p>
    <w:p w14:paraId="68AF97FE">
      <w:pPr>
        <w:overflowPunct w:val="0"/>
        <w:spacing w:line="560" w:lineRule="exact"/>
        <w:ind w:firstLine="664" w:firstLineChars="200"/>
        <w:outlineLvl w:val="1"/>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pPr>
      <w:bookmarkStart w:id="38" w:name="_Toc31608"/>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三</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加强马文化旅游融合发展</w:t>
      </w:r>
      <w:bookmarkEnd w:id="38"/>
    </w:p>
    <w:p w14:paraId="2CDB3E31">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依据乌拉特民族特色和地区旅游资源特点，大力开发建设马文化旅游景区和线路、青少年研学旅行基地、马文化演出中心、世界名马科普基地、马术休闲场、野骑俱乐部、马文化公园和特色家庭牧场等项目，通过马术表演、马术比赛、马文化博物馆和科普馆、青少年马术研学旅行和夏令营、马背婚庆、马术影视基地、名马馆、马主题民俗风情园等多种方式，为游客提供全方位马主题文化旅游服务。加大招商引资力度，发挥马业协会和马术协会的作用，引入社会资本投资建设马文化旅游项目，培育壮大一批马文化旅游重点企业，构建现代马文化旅游产业体系。</w:t>
      </w:r>
    </w:p>
    <w:p w14:paraId="6B5A3914">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39" w:name="_Toc24030"/>
      <w:bookmarkStart w:id="40" w:name="_Toc30723"/>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1.建设重点马文化旅游项目</w:t>
      </w:r>
      <w:bookmarkEnd w:id="39"/>
      <w:bookmarkEnd w:id="40"/>
    </w:p>
    <w:p w14:paraId="1B9FE85B">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依托</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的生态、区位、交通优势，通过政府、社会招商方式，积极推进马主题文旅项目建设。推动实施</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巴音乌兰马产业牧文旅综合体、</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巴音乌兰马戏文化馆、</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乌拉特马</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文化博物馆</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、环313最美边疆风景马术穿越等项目，</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夯实马主题旅游产业根基。</w:t>
      </w:r>
    </w:p>
    <w:p w14:paraId="1BC5ACCA">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41" w:name="_Toc15378"/>
      <w:bookmarkStart w:id="42" w:name="_Toc325"/>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2.</w:t>
      </w:r>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举办</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马产业相关节庆活动</w:t>
      </w:r>
      <w:bookmarkEnd w:id="41"/>
      <w:bookmarkEnd w:id="42"/>
    </w:p>
    <w:p w14:paraId="34958B92">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依托</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“乌拉特马”</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产业、马文化资源，围绕旅游景区、线路产品、业态要素，承办举办国内一流、国际瞩目的品牌</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马产业活动</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。政府搭建交流合作平台，鼓励企业</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积极</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创办马产业相关</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节庆活动</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，行业协会作为指导，共同发展会展旅游业</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。举办好</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马术文化节</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国际马文化节暨马文化博览会</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万马会</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三</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大节庆活动</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不断提高活动的观赏性和娱乐性</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p>
    <w:p w14:paraId="16980970">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43" w:name="_Toc23488"/>
      <w:bookmarkStart w:id="44" w:name="_Toc10285"/>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3</w:t>
      </w:r>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.开展马匹拍卖</w:t>
      </w:r>
      <w:bookmarkEnd w:id="43"/>
      <w:bookmarkEnd w:id="44"/>
    </w:p>
    <w:p w14:paraId="6F877079">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结合</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自治区</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各级各类马主题赛事活动，由文旅部门牵头，农牧、商务、</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宣传</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等部门配合，制定马匹拍卖活动方案，举办各类马匹拍卖活动。持续举办好</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巴音乌兰“乌拉特</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专场拍卖活动，不断繁荣马匹交易市场，向全国各地提供优质马匹交易服务，推进马匹交易市场化、标准化、规范化，促进马产业转型升级，带动牧民增收。与国内知名马术俱乐部合作，举办全国性现场推介会，全力提升</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马匹市场的吸引力和竞争力。</w:t>
      </w:r>
    </w:p>
    <w:p w14:paraId="2DE2A37A">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45" w:name="_Toc13328"/>
      <w:bookmarkStart w:id="46" w:name="_Toc11860"/>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4</w:t>
      </w:r>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.丰富马文化旅游业态</w:t>
      </w:r>
      <w:bookmarkEnd w:id="45"/>
      <w:bookmarkEnd w:id="46"/>
    </w:p>
    <w:p w14:paraId="576C8A8C">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依托</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w:t>
      </w:r>
      <w:r>
        <w:rPr>
          <w:rFonts w:hint="eastAsia" w:ascii="Times New Roman" w:hAnsi="Times New Roman" w:eastAsia="方正仿宋_GBK" w:cs="方正仿宋_GBK"/>
          <w:b w:val="0"/>
          <w:color w:val="000000" w:themeColor="text1"/>
          <w:kern w:val="2"/>
          <w:sz w:val="32"/>
          <w:szCs w:val="32"/>
          <w:highlight w:val="none"/>
          <w:lang w:val="en-US" w:eastAsia="zh-CN" w:bidi="ar-SA"/>
          <w14:textFill>
            <w14:solidFill>
              <w14:schemeClr w14:val="tx1"/>
            </w14:solidFill>
          </w14:textFill>
        </w:rPr>
        <w:t>独特的风土人情及自然风光</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，开发以马为主题的旅游观光、体验线路，推出</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马旅游、马术表演、景区马文化展示、骑马探险体验</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等精品马主题线路产品，并向</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旗</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内外旅行社推广，上线携程</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、飞猪</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等OTA平台，通过推介会进行主题推介。积极开发马主题研学产品，深入挖掘马文化、骑乘知识等，通过马术微课堂、参观名马马厩、趣味马房体验等项目，研发马主题研学旅行活动，推出</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马文化+</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旅游研学、马术研学营、我是草原小骑兵、</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夏令营等研学产品。</w:t>
      </w:r>
    </w:p>
    <w:p w14:paraId="19B96910">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（1）线上搭建马文化宣传平台，定期发布关于马的历史、文化、品种、饲养知识、马术技巧等文章、图片和视频内容。</w:t>
      </w:r>
    </w:p>
    <w:p w14:paraId="4FD0D17A">
      <w:pPr>
        <w:spacing w:line="560" w:lineRule="exact"/>
        <w:ind w:firstLine="664" w:firstLineChars="200"/>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（2）建设马术表演场地，配备专业的马术表演设备，如障碍栏、跳杆、圆形场地等，定期举办马术表演活动。确定每月固定的几日开展打马印活动，提前做好宣传和准备工作。</w:t>
      </w:r>
    </w:p>
    <w:p w14:paraId="6095AB9F">
      <w:pPr>
        <w:spacing w:line="560" w:lineRule="exact"/>
        <w:ind w:firstLine="664" w:firstLineChars="200"/>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（3）发起成立马文化协会，邀请马术爱好者、马文化研究者、相关企业和机构等加入协会。制定会员招募计划和会员管理制度，明确会员的权利和义务。</w:t>
      </w:r>
    </w:p>
    <w:p w14:paraId="74EDF6BE">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（4）设立赛马等活动的奖金，根据比赛的规模和级别，确定不同的奖金金额。为参与马文化活动的观众和会员设置礼品，如马文化纪念品、马术用品、特色食品等。</w:t>
      </w:r>
    </w:p>
    <w:p w14:paraId="35BE1723">
      <w:pPr>
        <w:widowControl w:val="0"/>
        <w:adjustRightInd w:val="0"/>
        <w:snapToGrid w:val="0"/>
        <w:spacing w:line="240" w:lineRule="auto"/>
        <w:jc w:val="cente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drawing>
          <wp:inline distT="0" distB="0" distL="114300" distR="114300">
            <wp:extent cx="5337175" cy="3664585"/>
            <wp:effectExtent l="0" t="0" r="9525" b="5715"/>
            <wp:docPr id="113" name="图片 113" descr="4cbfacc5bd0317b68586bdee486ec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4cbfacc5bd0317b68586bdee486ecb8"/>
                    <pic:cNvPicPr>
                      <a:picLocks noChangeAspect="1"/>
                    </pic:cNvPicPr>
                  </pic:nvPicPr>
                  <pic:blipFill>
                    <a:blip r:embed="rId15"/>
                    <a:srcRect l="1979" t="14074" r="1677" b="2364"/>
                    <a:stretch>
                      <a:fillRect/>
                    </a:stretch>
                  </pic:blipFill>
                  <pic:spPr>
                    <a:xfrm>
                      <a:off x="0" y="0"/>
                      <a:ext cx="5337175" cy="3664585"/>
                    </a:xfrm>
                    <a:prstGeom prst="rect">
                      <a:avLst/>
                    </a:prstGeom>
                  </pic:spPr>
                </pic:pic>
              </a:graphicData>
            </a:graphic>
          </wp:inline>
        </w:drawing>
      </w:r>
    </w:p>
    <w:p w14:paraId="181DB107">
      <w:pPr>
        <w:pStyle w:val="10"/>
        <w:bidi w:val="0"/>
        <w:spacing w:line="240" w:lineRule="auto"/>
        <w:ind w:left="0" w:leftChars="0" w:firstLine="0" w:firstLineChars="0"/>
        <w:jc w:val="cente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color w:val="000000" w:themeColor="text1"/>
          <w:sz w:val="28"/>
          <w:szCs w:val="40"/>
          <w:highlight w:val="none"/>
          <w14:textFill>
            <w14:solidFill>
              <w14:schemeClr w14:val="tx1"/>
            </w14:solidFill>
          </w14:textFill>
        </w:rPr>
        <w:t>图</w:t>
      </w:r>
      <w:r>
        <w:rPr>
          <w:rFonts w:hint="eastAsia" w:ascii="Times New Roman" w:hAnsi="Times New Roman" w:eastAsia="方正仿宋_GBK" w:cs="方正仿宋_GBK"/>
          <w:b/>
          <w:bCs/>
          <w:color w:val="000000" w:themeColor="text1"/>
          <w:sz w:val="28"/>
          <w:szCs w:val="40"/>
          <w:highlight w:val="none"/>
          <w:lang w:val="en-US" w:eastAsia="zh-CN"/>
          <w14:textFill>
            <w14:solidFill>
              <w14:schemeClr w14:val="tx1"/>
            </w14:solidFill>
          </w14:textFill>
        </w:rPr>
        <w:t>2  巴音乌兰公路竞技体育与草原风光旅游线路</w:t>
      </w:r>
      <w:r>
        <w:rPr>
          <w:rFonts w:hint="eastAsia" w:ascii="Times New Roman" w:hAnsi="Times New Roman" w:eastAsia="方正仿宋_GBK" w:cs="方正仿宋_GBK"/>
          <w:b/>
          <w:bCs/>
          <w:color w:val="000000" w:themeColor="text1"/>
          <w:sz w:val="28"/>
          <w:szCs w:val="40"/>
          <w:highlight w:val="none"/>
          <w:lang w:eastAsia="zh-CN"/>
          <w14:textFill>
            <w14:solidFill>
              <w14:schemeClr w14:val="tx1"/>
            </w14:solidFill>
          </w14:textFill>
        </w:rPr>
        <w:t>图</w:t>
      </w:r>
    </w:p>
    <w:p w14:paraId="1487596C">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47" w:name="_Toc12996"/>
      <w:bookmarkStart w:id="48" w:name="_Toc559"/>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5</w:t>
      </w:r>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.开发文旅商品</w:t>
      </w:r>
      <w:bookmarkEnd w:id="47"/>
      <w:bookmarkEnd w:id="48"/>
    </w:p>
    <w:p w14:paraId="7990A72E">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不断完善马文化旅游商品产业链条和市场体系，组织开展马文化主题旅游商品评定，评选一批在创新创意、研发设计、生产销售等方面突出的马文化主题旅游商品。指导文创企业开发一批以马头琴、马鞍、马镫为主的文创商品，以马形象为主的吉祥物、卡通玩偶，以</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乌拉特马</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为形象标识的食品、饰品等商品，不断促进</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全旗</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马主题旅游商品规模化、规范化、市场化发展。</w:t>
      </w:r>
    </w:p>
    <w:p w14:paraId="153C8EBF">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49" w:name="_Toc17030"/>
      <w:bookmarkStart w:id="50" w:name="_Toc8958"/>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6</w:t>
      </w:r>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.强化文化传承</w:t>
      </w:r>
      <w:bookmarkEnd w:id="49"/>
      <w:bookmarkEnd w:id="50"/>
    </w:p>
    <w:p w14:paraId="214638AE">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深入挖掘</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文化资源，创作推出一批优秀舞台艺术作品，提升</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“马产业发展高地”“</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北疆</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牧文旅</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高地</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知名度和影响力。大力弘扬</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“乌拉特马”</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精神，将</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巴音乌兰</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打造成为干部培训基地，</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积极</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创建</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“乌拉特马”</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精神研学教育基地。不断加强马鞍、马镫、马具制作技艺等非物质文化遗产传承保护，收集整理相关文物</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，积极筹建</w:t>
      </w:r>
      <w:r>
        <w:rPr>
          <w:rFonts w:hint="eastAsia" w:ascii="Times New Roman" w:hAnsi="Times New Roman" w:eastAsia="方正仿宋_GBK" w:cs="方正仿宋_GBK"/>
          <w:b w:val="0"/>
          <w:color w:val="000000" w:themeColor="text1"/>
          <w:kern w:val="2"/>
          <w:sz w:val="32"/>
          <w:szCs w:val="32"/>
          <w:highlight w:val="none"/>
          <w:lang w:val="en-US" w:eastAsia="zh-CN" w:bidi="ar-SA"/>
          <w14:textFill>
            <w14:solidFill>
              <w14:schemeClr w14:val="tx1"/>
            </w14:solidFill>
          </w14:textFill>
        </w:rPr>
        <w:t>巴音乌兰马戏文化馆、</w:t>
      </w:r>
      <w:r>
        <w:rPr>
          <w:rFonts w:hint="eastAsia" w:ascii="Times New Roman" w:hAnsi="Times New Roman" w:eastAsia="方正仿宋_GBK" w:cs="方正仿宋_GBK"/>
          <w:b w:val="0"/>
          <w:bCs/>
          <w:color w:val="000000" w:themeColor="text1"/>
          <w:kern w:val="2"/>
          <w:sz w:val="32"/>
          <w:szCs w:val="32"/>
          <w:highlight w:val="none"/>
          <w:lang w:val="en-US" w:eastAsia="zh-CN" w:bidi="zh-CN"/>
          <w14:textFill>
            <w14:solidFill>
              <w14:schemeClr w14:val="tx1"/>
            </w14:solidFill>
          </w14:textFill>
        </w:rPr>
        <w:t>“乌拉特马”</w:t>
      </w:r>
      <w:r>
        <w:rPr>
          <w:rFonts w:hint="eastAsia" w:ascii="Times New Roman" w:hAnsi="Times New Roman" w:eastAsia="方正仿宋_GBK" w:cs="方正仿宋_GBK"/>
          <w:b w:val="0"/>
          <w:color w:val="000000" w:themeColor="text1"/>
          <w:kern w:val="2"/>
          <w:sz w:val="32"/>
          <w:szCs w:val="32"/>
          <w:highlight w:val="none"/>
          <w:lang w:val="en-US" w:eastAsia="zh-CN" w:bidi="ar-SA"/>
          <w14:textFill>
            <w14:solidFill>
              <w14:schemeClr w14:val="tx1"/>
            </w14:solidFill>
          </w14:textFill>
        </w:rPr>
        <w:t>文化博物馆、非遗文创馆，</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举办马主题非物质文化遗产展览展示</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培育打造具有鲜明地方特色的马文化品牌。</w:t>
      </w:r>
    </w:p>
    <w:p w14:paraId="4BE6BF93">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51" w:name="_Toc12728"/>
      <w:bookmarkStart w:id="52" w:name="_Toc21247"/>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7</w:t>
      </w:r>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创建星级评定体系</w:t>
      </w:r>
      <w:bookmarkEnd w:id="51"/>
      <w:bookmarkEnd w:id="52"/>
    </w:p>
    <w:p w14:paraId="4AF20BBF">
      <w:pPr>
        <w:spacing w:line="560" w:lineRule="exact"/>
        <w:ind w:firstLine="664" w:firstLineChars="200"/>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pP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创建</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“乌拉特马</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之星</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品牌活动。充分利用</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“马产业发展高地”“</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北疆</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牧文旅</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高地</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品牌，谋划在育马、赛马、驯马、马产品生产、加工、马术俱乐部、马文化园等各个马相关领域中</w:t>
      </w:r>
      <w:r>
        <w:rPr>
          <w:rFonts w:hint="eastAsia" w:cs="方正仿宋_GBK"/>
          <w:color w:val="000000" w:themeColor="text1"/>
          <w:spacing w:val="6"/>
          <w:sz w:val="32"/>
          <w:szCs w:val="32"/>
          <w:highlight w:val="none"/>
          <w:lang w:val="en-US" w:eastAsia="zh-CN" w:bidi="ar"/>
          <w14:textFill>
            <w14:solidFill>
              <w14:schemeClr w14:val="tx1"/>
            </w14:solidFill>
          </w14:textFill>
        </w:rPr>
        <w:t>，</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做出突出贡献，有效带动周边地域发展马与文化、旅游、教育、康养、研学等深度融合的企事业单位、社会组织机构、合作社、个体经营者进行星级评定（依据星级评定规则）。按照评定的星级</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标准</w:t>
      </w:r>
      <w:r>
        <w:rPr>
          <w:rFonts w:hint="default"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给予一次性补贴奖励。</w:t>
      </w:r>
    </w:p>
    <w:p w14:paraId="5ECB5F79">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53" w:name="_Toc12255"/>
      <w:bookmarkStart w:id="54" w:name="_Toc26541"/>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8</w:t>
      </w:r>
      <w:r>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加强文化交流合作</w:t>
      </w:r>
      <w:bookmarkEnd w:id="53"/>
      <w:bookmarkEnd w:id="54"/>
    </w:p>
    <w:p w14:paraId="43A4D9D4">
      <w:pPr>
        <w:widowControl w:val="0"/>
        <w:adjustRightInd w:val="0"/>
        <w:snapToGrid w:val="0"/>
        <w:spacing w:line="560" w:lineRule="exact"/>
        <w:ind w:firstLine="640" w:firstLineChars="200"/>
        <w:jc w:val="both"/>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举办牧文旅文化交流合作论坛，积极与其他地区、国内外旅游机构和文化机构、非遗协会等开展合作，通过更广泛的文化交流、经验互享和商务合作，将巴音乌兰的牧文旅文化进行资源整合。邀请业界专家充分挖掘和发掘巴音乌兰的牧文旅附加值，促进巴音乌兰牧区旅游的吸引力和竞争力。</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支持文艺学者、领域专家、企业及单位进行马文化书籍、摄影、纪录片的出版和发行。</w:t>
      </w:r>
    </w:p>
    <w:p w14:paraId="45503CCB">
      <w:pPr>
        <w:spacing w:line="560" w:lineRule="exact"/>
        <w:ind w:firstLine="667" w:firstLineChars="200"/>
        <w:outlineLvl w:val="2"/>
        <w:rPr>
          <w:rFonts w:hint="default"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pPr>
      <w:bookmarkStart w:id="55" w:name="_Toc16032"/>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9.完善文旅基础功能建设</w:t>
      </w:r>
      <w:bookmarkEnd w:id="55"/>
    </w:p>
    <w:p w14:paraId="0D666637">
      <w:pPr>
        <w:widowControl w:val="0"/>
        <w:adjustRightInd w:val="0"/>
        <w:snapToGrid w:val="0"/>
        <w:spacing w:line="560" w:lineRule="exact"/>
        <w:ind w:firstLine="640" w:firstLineChars="200"/>
        <w:jc w:val="both"/>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1）巴音乌兰苏木桑根达来嘎查草原驿站。在331国道建设一处8000平米草原驿站，集加油加气与餐饮一体化服务站，其中100平米归桑根达来嘎查集体所有，并由嘎查集体经营餐饮超市及农畜产品销售，为路过服务站群众提供便利，解决周边群众生活用品购入难的问题，同时为嘎查集体经济带来活力、注入活水，实现壮大嘎查集体经济。</w:t>
      </w:r>
    </w:p>
    <w:p w14:paraId="44D49F8A">
      <w:pPr>
        <w:widowControl w:val="0"/>
        <w:adjustRightInd w:val="0"/>
        <w:snapToGrid w:val="0"/>
        <w:spacing w:line="560" w:lineRule="exact"/>
        <w:ind w:firstLine="640" w:firstLineChars="200"/>
        <w:jc w:val="both"/>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2）巴音乌兰苏木东达乌素嘎查草原监测保护站。建设占地500平米草原监测保护站，集草原草场监测保护、草原生态修复成果展示、生态修复教育培训基地、管护人员管护站、草原森林防火检测、野生动物保护站、野生动物观赏摄影、巡边体验等功能。</w:t>
      </w:r>
    </w:p>
    <w:p w14:paraId="4BDB26B4">
      <w:pPr>
        <w:widowControl w:val="0"/>
        <w:adjustRightInd w:val="0"/>
        <w:snapToGrid w:val="0"/>
        <w:spacing w:line="560" w:lineRule="exact"/>
        <w:ind w:firstLine="640" w:firstLineChars="200"/>
        <w:jc w:val="both"/>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3）巴音查干嘎查柠条种植项目。于巴音查干嘎查种植柠条18020亩，通过专业技术员全程跟踪服务，严把种苗、栽植等各项技术关，力争“栽一棵活一棵，植一片绿一片”，逐步改良草牧场，达到改善生态环境、提升农牧民收入的目标。</w:t>
      </w:r>
    </w:p>
    <w:p w14:paraId="3679CF93">
      <w:pPr>
        <w:widowControl w:val="0"/>
        <w:adjustRightInd w:val="0"/>
        <w:snapToGrid w:val="0"/>
        <w:spacing w:line="560" w:lineRule="exact"/>
        <w:ind w:firstLine="640" w:firstLineChars="200"/>
        <w:jc w:val="both"/>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pPr>
    </w:p>
    <w:tbl>
      <w:tblPr>
        <w:tblStyle w:val="24"/>
        <w:tblW w:w="8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6"/>
      </w:tblGrid>
      <w:tr w14:paraId="0298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 w:hRule="atLeast"/>
          <w:jc w:val="center"/>
        </w:trPr>
        <w:tc>
          <w:tcPr>
            <w:tcW w:w="8346" w:type="dxa"/>
            <w:shd w:val="clear" w:color="auto" w:fill="auto"/>
          </w:tcPr>
          <w:p w14:paraId="591A14E0">
            <w:pPr>
              <w:tabs>
                <w:tab w:val="left" w:pos="468"/>
                <w:tab w:val="left" w:pos="558"/>
              </w:tabs>
              <w:topLinePunct/>
              <w:adjustRightInd w:val="0"/>
              <w:snapToGrid w:val="0"/>
              <w:spacing w:line="560" w:lineRule="exact"/>
              <w:jc w:val="center"/>
              <w:textAlignment w:val="center"/>
              <w:rPr>
                <w:rFonts w:ascii="Times New Roman" w:hAnsi="Times New Roman" w:eastAsia="方正仿宋_GBK" w:cs="方正仿宋_GBK"/>
                <w:b/>
                <w:bCs/>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专栏三  马文化旅游融合</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发展重点</w:t>
            </w: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项目</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2024</w:t>
            </w:r>
            <w:r>
              <w:rPr>
                <w:rFonts w:hint="eastAsia" w:cs="方正仿宋_GBK"/>
                <w:b/>
                <w:bCs/>
                <w:color w:val="000000" w:themeColor="text1"/>
                <w:sz w:val="28"/>
                <w:szCs w:val="28"/>
                <w:highlight w:val="none"/>
                <w:lang w:val="en-US"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2026年</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p>
        </w:tc>
      </w:tr>
      <w:tr w14:paraId="79E9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346" w:type="dxa"/>
          </w:tcPr>
          <w:p w14:paraId="7D039D74">
            <w:pPr>
              <w:numPr>
                <w:ilvl w:val="0"/>
                <w:numId w:val="3"/>
              </w:numPr>
              <w:spacing w:line="480" w:lineRule="exact"/>
              <w:ind w:firstLine="482" w:firstLineChars="200"/>
              <w:rPr>
                <w:rFonts w:ascii="Times New Roman" w:hAnsi="Times New Roman" w:eastAsia="方正仿宋_GBK" w:cs="方正仿宋_GBK"/>
                <w:b/>
                <w:bCs/>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14:textFill>
                  <w14:solidFill>
                    <w14:schemeClr w14:val="tx1"/>
                  </w14:solidFill>
                </w14:textFill>
              </w:rPr>
              <w:t>马文化广场。</w:t>
            </w:r>
            <w:r>
              <w:rPr>
                <w:rFonts w:hint="eastAsia" w:ascii="Times New Roman" w:hAnsi="Times New Roman" w:eastAsia="方正仿宋_GBK" w:cs="方正仿宋_GBK"/>
                <w:color w:val="000000" w:themeColor="text1"/>
                <w:sz w:val="24"/>
                <w:highlight w:val="none"/>
                <w14:textFill>
                  <w14:solidFill>
                    <w14:schemeClr w14:val="tx1"/>
                  </w14:solidFill>
                </w14:textFill>
              </w:rPr>
              <w:t>占地11.6万平米，建设赛马场、打靶场、摔跤场和69顶蒙古包群，配套给排水设备。</w:t>
            </w:r>
          </w:p>
          <w:p w14:paraId="0A5BE422">
            <w:pPr>
              <w:spacing w:line="480" w:lineRule="exact"/>
              <w:ind w:firstLine="482" w:firstLineChars="200"/>
              <w:rPr>
                <w:rFonts w:ascii="Times New Roman" w:hAnsi="Times New Roman" w:eastAsia="方正仿宋_GBK" w:cs="方正仿宋_GBK"/>
                <w:b/>
                <w:bCs/>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14:textFill>
                  <w14:solidFill>
                    <w14:schemeClr w14:val="tx1"/>
                  </w14:solidFill>
                </w14:textFill>
              </w:rPr>
              <w:t>2. 特色产品展厅。</w:t>
            </w:r>
            <w:r>
              <w:rPr>
                <w:rFonts w:hint="eastAsia" w:ascii="Times New Roman" w:hAnsi="Times New Roman" w:eastAsia="方正仿宋_GBK" w:cs="方正仿宋_GBK"/>
                <w:color w:val="000000" w:themeColor="text1"/>
                <w:kern w:val="0"/>
                <w:sz w:val="24"/>
                <w:highlight w:val="none"/>
                <w:lang w:bidi="ar"/>
                <w14:textFill>
                  <w14:solidFill>
                    <w14:schemeClr w14:val="tx1"/>
                  </w14:solidFill>
                </w14:textFill>
              </w:rPr>
              <w:t>建筑面积298㎡，总投资160万元。展厅内设置展示大厅、卫生间和配套办公室。展示大厅配备接待台、展示柜台、展架、品尝休息区等，展厅内设置两处电子屏幕，播放宣传乌拉特草原</w:t>
            </w:r>
            <w:r>
              <w:rPr>
                <w:rFonts w:hint="eastAsia" w:ascii="Times New Roman" w:hAnsi="Times New Roman" w:eastAsia="方正仿宋_GBK" w:cs="方正仿宋_GBK"/>
                <w:color w:val="000000" w:themeColor="text1"/>
                <w:kern w:val="0"/>
                <w:sz w:val="24"/>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kern w:val="0"/>
                <w:sz w:val="24"/>
                <w:highlight w:val="none"/>
                <w:lang w:bidi="ar"/>
                <w14:textFill>
                  <w14:solidFill>
                    <w14:schemeClr w14:val="tx1"/>
                  </w14:solidFill>
                </w14:textFill>
              </w:rPr>
              <w:t>乌拉特马</w:t>
            </w:r>
            <w:r>
              <w:rPr>
                <w:rFonts w:hint="eastAsia" w:ascii="Times New Roman" w:hAnsi="Times New Roman" w:eastAsia="方正仿宋_GBK" w:cs="方正仿宋_GBK"/>
                <w:color w:val="000000" w:themeColor="text1"/>
                <w:kern w:val="0"/>
                <w:sz w:val="24"/>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kern w:val="0"/>
                <w:sz w:val="24"/>
                <w:highlight w:val="none"/>
                <w:lang w:bidi="ar"/>
                <w14:textFill>
                  <w14:solidFill>
                    <w14:schemeClr w14:val="tx1"/>
                  </w14:solidFill>
                </w14:textFill>
              </w:rPr>
              <w:t>文化和马奶产品。</w:t>
            </w:r>
          </w:p>
          <w:p w14:paraId="50AB1AE4">
            <w:pPr>
              <w:spacing w:line="480" w:lineRule="exact"/>
              <w:ind w:firstLine="482" w:firstLineChars="200"/>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3. 巴音乌兰马戏文化馆</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打造设施完整、功能齐全的马戏表演场所，包括马戏剧院、马戏主题酒店、马戏魔术演艺一条街三大板块，可进行马戏大赛、大场面演出、杂技演出，还能为综合性音乐、歌舞演出提供良好的表演空间，邀请国内外著名马戏、杂技节目轮流演出，为巴音乌兰当地马戏文化展演、娱乐旅游添加重量级名片。</w:t>
            </w:r>
          </w:p>
          <w:p w14:paraId="0D92BCA6">
            <w:pPr>
              <w:spacing w:line="480" w:lineRule="exact"/>
              <w:ind w:firstLine="482" w:firstLineChars="200"/>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4. “乌拉特马”文化博物馆</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建立一个以展示马文化为主旨的专题博物馆，包含文字区、雕塑区、画作区、摄影区等板块，展示马匹品种、驯养、使役，马术起源、装备、竞技、表演以及蒙古族、巴彦乌兰当地的民族特色等知识，以理性与艺术的视角展示马文化、马艺术、马精神，使游客真切感受到北方民族之于马的深厚情结与历史文化内涵，为巴音乌兰的旅游产业添砖加瓦。</w:t>
            </w:r>
          </w:p>
          <w:p w14:paraId="5588E05D">
            <w:pPr>
              <w:spacing w:line="480" w:lineRule="exact"/>
              <w:ind w:firstLine="482" w:firstLineChars="200"/>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5. 国际马术文化节</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以赛事为核心，围绕骑乘体验、马术表演、马术实景剧演出等活动开发体育旅游项目，推动马术特色培训与马术休闲骑乘的市场化进程，扶持“马术体验休闲游”“体育+民族特色体验游”“青少年马术体育课堂”等项目，并通过活动造势提高影响力和基地知名度。</w:t>
            </w:r>
          </w:p>
          <w:p w14:paraId="4075C510">
            <w:pPr>
              <w:spacing w:line="480" w:lineRule="exact"/>
              <w:ind w:firstLine="482" w:firstLineChars="200"/>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6. 国际马文化节暨马文化博览会</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以马产业链的交流与展会形式，促进巴音乌兰马文化与国际马文化沟通学习，同时探讨推广“乌拉特马”的战略合作事宜，以马为媒，延续马业在“丝绸之路”的重要作用，推进“一带一路”对外沟通交流合作进程。</w:t>
            </w:r>
          </w:p>
          <w:p w14:paraId="41315828">
            <w:pPr>
              <w:spacing w:line="480" w:lineRule="exact"/>
              <w:ind w:firstLine="482" w:firstLineChars="200"/>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7. 万马会</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打造“万马会”传统民俗活动品牌，宣传扩大“乌拉特马”文化旅游业和赛马业的影响力，联动全旗8月活动月，共同构建全旗节庆活动矩阵，掀起全旗节庆高潮，带动当地旅游、民族餐饮、民族手工艺等产业发展。</w:t>
            </w:r>
          </w:p>
          <w:p w14:paraId="5087212C">
            <w:pPr>
              <w:spacing w:line="480" w:lineRule="exact"/>
              <w:ind w:firstLine="482"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8. </w:t>
            </w:r>
            <w:r>
              <w:rPr>
                <w:rFonts w:hint="default" w:ascii="Times New Roman" w:hAnsi="Times New Roman" w:eastAsia="方正仿宋_GBK" w:cs="方正仿宋_GBK"/>
                <w:b/>
                <w:bCs/>
                <w:color w:val="000000" w:themeColor="text1"/>
                <w:sz w:val="24"/>
                <w:highlight w:val="none"/>
                <w:lang w:val="en-US" w:eastAsia="zh-CN"/>
                <w14:textFill>
                  <w14:solidFill>
                    <w14:schemeClr w14:val="tx1"/>
                  </w14:solidFill>
                </w14:textFill>
              </w:rPr>
              <w:t>马文化旅游体验基地</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。开发以马为元素的多元文化旅游休闲项目，探索建立休闲观光马道，布局建设马文化旅游体验基地，围绕旅游景点开展野外骑乘等经营性活动，培育新的消费热点。</w:t>
            </w:r>
          </w:p>
          <w:p w14:paraId="1E379F9B">
            <w:pPr>
              <w:spacing w:line="480" w:lineRule="exact"/>
              <w:ind w:firstLine="482"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9. </w:t>
            </w:r>
            <w:r>
              <w:rPr>
                <w:rFonts w:hint="default" w:ascii="Times New Roman" w:hAnsi="Times New Roman" w:eastAsia="方正仿宋_GBK" w:cs="方正仿宋_GBK"/>
                <w:b/>
                <w:bCs/>
                <w:color w:val="000000" w:themeColor="text1"/>
                <w:sz w:val="24"/>
                <w:highlight w:val="none"/>
                <w:lang w:val="en-US" w:eastAsia="zh-CN"/>
                <w14:textFill>
                  <w14:solidFill>
                    <w14:schemeClr w14:val="tx1"/>
                  </w14:solidFill>
                </w14:textFill>
              </w:rPr>
              <w:t>边境线花海项目</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。依托313环中国游线路资源，在313线路至边境线区域生态恢复建设6万亩花海，选择耐寒耐旱多年生花种类型。</w:t>
            </w:r>
          </w:p>
        </w:tc>
      </w:tr>
    </w:tbl>
    <w:p w14:paraId="710803B3">
      <w:pPr>
        <w:overflowPunct w:val="0"/>
        <w:spacing w:line="560" w:lineRule="exact"/>
        <w:ind w:firstLine="664" w:firstLineChars="200"/>
        <w:outlineLvl w:val="1"/>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bookmarkStart w:id="56" w:name="_Toc1281"/>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四</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加快发展马竞体育产业</w:t>
      </w:r>
      <w:bookmarkEnd w:id="56"/>
    </w:p>
    <w:p w14:paraId="226B09DB">
      <w:pPr>
        <w:widowControl w:val="0"/>
        <w:adjustRightInd w:val="0"/>
        <w:snapToGrid w:val="0"/>
        <w:spacing w:line="560" w:lineRule="exact"/>
        <w:ind w:firstLine="640" w:firstLineChars="200"/>
        <w:jc w:val="both"/>
        <w:outlineLvl w:val="9"/>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bookmarkStart w:id="57" w:name="_Toc26250"/>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发挥巴音乌兰土地辽阔、马资源丰富以及亚高原资源优势，依托现有赛马场地，积极建设标准赛马场，搭建形成完整的体育竞技</w:t>
      </w:r>
      <w:r>
        <w:rPr>
          <w:rFonts w:hint="eastAsia" w:cs="方正仿宋_GBK"/>
          <w:b w:val="0"/>
          <w:bCs/>
          <w:color w:val="000000" w:themeColor="text1"/>
          <w:kern w:val="2"/>
          <w:sz w:val="32"/>
          <w:szCs w:val="32"/>
          <w:highlight w:val="none"/>
          <w:lang w:val="en-US" w:eastAsia="zh-CN" w:bidi="ar-SA"/>
          <w14:textFill>
            <w14:solidFill>
              <w14:schemeClr w14:val="tx1"/>
            </w14:solidFill>
          </w14:textFill>
        </w:rPr>
        <w:t>赛马</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平台，创建具有乌拉特特色的马术赛事品牌，吸收借鉴开展符合国际规则的赛事，吸引周边国家的优秀运动员和优良马匹参与。同时积极建设运动竞技基地、亚高原体育竞技训练基地等，承接国内外知名体育赛事，把巴音乌兰打造成为国内知名的竞赛体育活动区。</w:t>
      </w:r>
    </w:p>
    <w:p w14:paraId="7154D118">
      <w:pPr>
        <w:widowControl w:val="0"/>
        <w:adjustRightInd w:val="0"/>
        <w:snapToGrid w:val="0"/>
        <w:spacing w:line="560" w:lineRule="exact"/>
        <w:ind w:firstLine="640" w:firstLineChars="200"/>
        <w:jc w:val="both"/>
        <w:outlineLvl w:val="9"/>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（1）制定《乌拉特地区速度赛马赛事标准》，出台《乌拉特地区赛马运动发展规划》，建立与国际接轨的赛马赛事制度，完善国家赛马赛事体系。</w:t>
      </w:r>
    </w:p>
    <w:p w14:paraId="21BB4136">
      <w:pPr>
        <w:widowControl w:val="0"/>
        <w:adjustRightInd w:val="0"/>
        <w:snapToGrid w:val="0"/>
        <w:spacing w:line="560" w:lineRule="exact"/>
        <w:ind w:firstLine="640" w:firstLineChars="200"/>
        <w:jc w:val="both"/>
        <w:outlineLvl w:val="9"/>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（2）打造“业余</w:t>
      </w:r>
      <w:r>
        <w:rPr>
          <w:rFonts w:hint="eastAsia" w:cs="方正仿宋_GBK"/>
          <w:b w:val="0"/>
          <w:bCs/>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专业</w:t>
      </w:r>
      <w:r>
        <w:rPr>
          <w:rFonts w:hint="eastAsia" w:cs="方正仿宋_GBK"/>
          <w:b w:val="0"/>
          <w:bCs/>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职业”分层级马运动赛事体系，夯实群众基础，提升竞技水平；培育一批职业化、商业化的马运动赛事品牌。</w:t>
      </w:r>
    </w:p>
    <w:p w14:paraId="5483462B">
      <w:pPr>
        <w:widowControl w:val="0"/>
        <w:adjustRightInd w:val="0"/>
        <w:snapToGrid w:val="0"/>
        <w:spacing w:line="560" w:lineRule="exact"/>
        <w:ind w:firstLine="640" w:firstLineChars="200"/>
        <w:jc w:val="both"/>
        <w:outlineLvl w:val="9"/>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（3）创新发展民族传统赛事活动，制定专项赛事等级标准，举办“乌拉特马超级联赛”，带动形成地方马赛事常态化、专业化发展，并推广国产马品种繁育与拍卖交易。</w:t>
      </w:r>
    </w:p>
    <w:p w14:paraId="67DC0264">
      <w:pPr>
        <w:widowControl w:val="0"/>
        <w:adjustRightInd w:val="0"/>
        <w:snapToGrid w:val="0"/>
        <w:spacing w:line="560" w:lineRule="exact"/>
        <w:ind w:firstLine="640" w:firstLineChars="200"/>
        <w:jc w:val="both"/>
        <w:outlineLvl w:val="9"/>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（4）鼓励和支持马相关的龙头企业创建国家级体育产业示范单位；扶持培育本土化的专业马术俱乐部。</w:t>
      </w:r>
    </w:p>
    <w:p w14:paraId="7A132499">
      <w:pPr>
        <w:widowControl w:val="0"/>
        <w:adjustRightInd w:val="0"/>
        <w:snapToGrid w:val="0"/>
        <w:spacing w:line="560" w:lineRule="exact"/>
        <w:ind w:firstLine="640" w:firstLineChars="200"/>
        <w:jc w:val="both"/>
        <w:outlineLvl w:val="9"/>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（5）鼓励和支持各级协会组织、龙头企业打造俱乐部马术联赛、青少年马术联赛，丰富赛事供给。</w:t>
      </w:r>
    </w:p>
    <w:p w14:paraId="5DE30A93">
      <w:pPr>
        <w:widowControl w:val="0"/>
        <w:adjustRightInd w:val="0"/>
        <w:snapToGrid w:val="0"/>
        <w:spacing w:line="560" w:lineRule="exact"/>
        <w:ind w:firstLine="640" w:firstLineChars="200"/>
        <w:jc w:val="both"/>
        <w:outlineLvl w:val="9"/>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（6）大力开展和承接“文化型赛事”和“旅游型赛事”，优先选择套马、驯野马、马球、骑射、拾哈达等文化传承型项目，以吸引世界各国和中国各大城市马爱好者和旅游爱好者参与为目的。</w:t>
      </w:r>
    </w:p>
    <w:p w14:paraId="48317E2F">
      <w:pPr>
        <w:widowControl w:val="0"/>
        <w:adjustRightInd w:val="0"/>
        <w:snapToGrid w:val="0"/>
        <w:spacing w:line="560" w:lineRule="exact"/>
        <w:ind w:firstLine="640" w:firstLineChars="200"/>
        <w:jc w:val="both"/>
        <w:outlineLvl w:val="9"/>
        <w:rPr>
          <w:rFonts w:hint="default"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b w:val="0"/>
          <w:bCs/>
          <w:color w:val="000000" w:themeColor="text1"/>
          <w:kern w:val="2"/>
          <w:sz w:val="32"/>
          <w:szCs w:val="32"/>
          <w:highlight w:val="none"/>
          <w:lang w:val="en-US" w:eastAsia="zh-CN" w:bidi="ar-SA"/>
          <w14:textFill>
            <w14:solidFill>
              <w14:schemeClr w14:val="tx1"/>
            </w14:solidFill>
          </w14:textFill>
        </w:rPr>
        <w:t>（7）积极与教育部、体育总局等单位建立联系，积极承接全国性各级别学生体育竞技类比赛，拉动餐饮、住宿等需求，推动全苏木镇域经济发展。</w:t>
      </w:r>
    </w:p>
    <w:bookmarkEnd w:id="57"/>
    <w:tbl>
      <w:tblPr>
        <w:tblStyle w:val="24"/>
        <w:tblW w:w="8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6"/>
      </w:tblGrid>
      <w:tr w14:paraId="72FA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8346" w:type="dxa"/>
            <w:shd w:val="clear" w:color="auto" w:fill="auto"/>
          </w:tcPr>
          <w:p w14:paraId="311E36D5">
            <w:pPr>
              <w:tabs>
                <w:tab w:val="left" w:pos="468"/>
                <w:tab w:val="left" w:pos="558"/>
              </w:tabs>
              <w:topLinePunct/>
              <w:adjustRightInd w:val="0"/>
              <w:snapToGrid w:val="0"/>
              <w:spacing w:line="560" w:lineRule="exact"/>
              <w:jc w:val="center"/>
              <w:textAlignment w:val="center"/>
              <w:rPr>
                <w:rFonts w:ascii="Times New Roman" w:hAnsi="Times New Roman" w:eastAsia="方正仿宋_GBK" w:cs="方正仿宋_GBK"/>
                <w:b/>
                <w:bCs/>
                <w:color w:val="000000" w:themeColor="text1"/>
                <w:sz w:val="32"/>
                <w:szCs w:val="32"/>
                <w:highlight w:val="none"/>
                <w14:textFill>
                  <w14:solidFill>
                    <w14:schemeClr w14:val="tx1"/>
                  </w14:solidFill>
                </w14:textFill>
              </w:rPr>
            </w:pPr>
            <w:bookmarkStart w:id="58" w:name="_Toc15262"/>
            <w:bookmarkStart w:id="59" w:name="_Toc22968"/>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专栏</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四</w:t>
            </w: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 xml:space="preserve">  马文化与</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竞技体育</w:t>
            </w:r>
            <w:r>
              <w:rPr>
                <w:rFonts w:hint="eastAsia" w:ascii="Times New Roman" w:hAnsi="Times New Roman" w:eastAsia="方正仿宋_GBK" w:cs="方正仿宋_GBK"/>
                <w:b/>
                <w:bCs/>
                <w:color w:val="000000" w:themeColor="text1"/>
                <w:sz w:val="28"/>
                <w:szCs w:val="28"/>
                <w:highlight w:val="none"/>
                <w14:textFill>
                  <w14:solidFill>
                    <w14:schemeClr w14:val="tx1"/>
                  </w14:solidFill>
                </w14:textFill>
              </w:rPr>
              <w:t>类项目</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2024</w:t>
            </w:r>
            <w:r>
              <w:rPr>
                <w:rFonts w:hint="eastAsia" w:cs="方正仿宋_GBK"/>
                <w:b/>
                <w:bCs/>
                <w:color w:val="000000" w:themeColor="text1"/>
                <w:sz w:val="28"/>
                <w:szCs w:val="28"/>
                <w:highlight w:val="none"/>
                <w:lang w:val="en-US" w:eastAsia="zh-CN"/>
                <w14:textFill>
                  <w14:solidFill>
                    <w14:schemeClr w14:val="tx1"/>
                  </w14:solidFill>
                </w14:textFill>
              </w:rPr>
              <w:t>—</w:t>
            </w:r>
            <w:r>
              <w:rPr>
                <w:rFonts w:hint="eastAsia" w:ascii="Times New Roman" w:hAnsi="Times New Roman" w:eastAsia="方正仿宋_GBK" w:cs="方正仿宋_GBK"/>
                <w:b/>
                <w:bCs/>
                <w:color w:val="000000" w:themeColor="text1"/>
                <w:sz w:val="28"/>
                <w:szCs w:val="28"/>
                <w:highlight w:val="none"/>
                <w:lang w:val="en-US" w:eastAsia="zh-CN"/>
                <w14:textFill>
                  <w14:solidFill>
                    <w14:schemeClr w14:val="tx1"/>
                  </w14:solidFill>
                </w14:textFill>
              </w:rPr>
              <w:t>2026年</w:t>
            </w:r>
            <w:r>
              <w:rPr>
                <w:rFonts w:hint="eastAsia" w:ascii="Times New Roman" w:hAnsi="Times New Roman" w:eastAsia="方正仿宋_GBK" w:cs="方正仿宋_GBK"/>
                <w:b/>
                <w:bCs/>
                <w:color w:val="000000" w:themeColor="text1"/>
                <w:sz w:val="28"/>
                <w:szCs w:val="28"/>
                <w:highlight w:val="none"/>
                <w:lang w:eastAsia="zh-CN"/>
                <w14:textFill>
                  <w14:solidFill>
                    <w14:schemeClr w14:val="tx1"/>
                  </w14:solidFill>
                </w14:textFill>
              </w:rPr>
              <w:t>）</w:t>
            </w:r>
          </w:p>
        </w:tc>
      </w:tr>
      <w:tr w14:paraId="4716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346" w:type="dxa"/>
          </w:tcPr>
          <w:p w14:paraId="2FAB727E">
            <w:pPr>
              <w:spacing w:line="480" w:lineRule="exact"/>
              <w:ind w:firstLine="482" w:firstLineChars="200"/>
              <w:rPr>
                <w:rFonts w:ascii="Times New Roman" w:hAnsi="Times New Roman" w:eastAsia="方正仿宋_GBK" w:cs="方正仿宋_GBK"/>
                <w:b/>
                <w:bCs/>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1</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 驯马师培训学校</w:t>
            </w:r>
            <w:r>
              <w:rPr>
                <w:rFonts w:hint="eastAsia" w:ascii="Times New Roman" w:hAnsi="Times New Roman" w:eastAsia="方正仿宋_GBK" w:cs="方正仿宋_GBK"/>
                <w:b w:val="0"/>
                <w:bCs w:val="0"/>
                <w:color w:val="000000" w:themeColor="text1"/>
                <w:sz w:val="24"/>
                <w:highlight w:val="none"/>
                <w14:textFill>
                  <w14:solidFill>
                    <w14:schemeClr w14:val="tx1"/>
                  </w14:solidFill>
                </w14:textFill>
              </w:rPr>
              <w:t>。对马术文旅从业者进行标准化、规范化的职业技能培训，包含马术文化旅游、青少年马术教学基础理论、马匹护理、马具的科学使用与合理配置、马术旅游领队技术安全服务规范、野外骑乘活动组织管理以及FITE定向马术三项赛等知识，举行马术文旅教练和社会体育指导员培训认证活动，促进马术文旅从业者专业技能提升，降低游客骑乘风险，有效推动巴音乌兰旅游行业高质量健康发展。培训学校包括马房工作区、户外探索区、马匹护理区、专业马术骑乘技能区，马术知识、马术礼仪、手工创作区等，可以通过培训取得国家二级运动员证书。</w:t>
            </w:r>
          </w:p>
          <w:p w14:paraId="5A2B3E15">
            <w:pPr>
              <w:spacing w:line="480" w:lineRule="exact"/>
              <w:ind w:firstLine="482"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2. </w:t>
            </w:r>
            <w:r>
              <w:rPr>
                <w:rFonts w:hint="default" w:ascii="Times New Roman" w:hAnsi="Times New Roman" w:eastAsia="方正仿宋_GBK" w:cs="方正仿宋_GBK"/>
                <w:b/>
                <w:bCs/>
                <w:color w:val="000000" w:themeColor="text1"/>
                <w:sz w:val="24"/>
                <w:highlight w:val="none"/>
                <w:lang w:val="en-US" w:eastAsia="zh-CN"/>
                <w14:textFill>
                  <w14:solidFill>
                    <w14:schemeClr w14:val="tx1"/>
                  </w14:solidFill>
                </w14:textFill>
              </w:rPr>
              <w:t>体育训练场馆</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为促进全民健身更高水平发展，更好满足人民群众的健身和健康需求，基地内建设室内外训练场馆，如综合训练馆、摔跤柔道馆、田径训练场、篮球场等，提供良好的训练环境，与科研机构合作，为巴音乌兰乃至内蒙古竞技人才培养及身心健康提供优质保障，发展为集训练、科研、医疗康复、教学、会议和全民健身等多功能于一体的综合性体育训练基地，为内蒙古自治区的体育事业提供助力。</w:t>
            </w:r>
          </w:p>
          <w:p w14:paraId="512567B4">
            <w:pPr>
              <w:spacing w:line="480" w:lineRule="exact"/>
              <w:ind w:firstLine="482"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3. </w:t>
            </w:r>
            <w:r>
              <w:rPr>
                <w:rFonts w:hint="default" w:ascii="Times New Roman" w:hAnsi="Times New Roman" w:eastAsia="方正仿宋_GBK" w:cs="方正仿宋_GBK"/>
                <w:b/>
                <w:bCs/>
                <w:color w:val="000000" w:themeColor="text1"/>
                <w:sz w:val="24"/>
                <w:highlight w:val="none"/>
                <w:lang w:val="en-US" w:eastAsia="zh-CN"/>
                <w14:textFill>
                  <w14:solidFill>
                    <w14:schemeClr w14:val="tx1"/>
                  </w14:solidFill>
                </w14:textFill>
              </w:rPr>
              <w:t>冰雪运动场馆</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以冰雪项目和汽摩运动为特色，建立巴音乌兰特色的运动休闲文化区。场馆内配备雪地摩托车、水上摩托车、赛车等驾驶设备，设置冬季汽车赛道、滑雪赛道和冬泳池等，以及马拉雪橇、冰上碰碰车、冰雪滑梯、儿童专用雪地摩托体验、成人雪地摩托雪域穿越等特色项目。开展雪地摩托车锦标赛等活动，助力冬奥会，以比赛带动运动产业、旅游产业发展。</w:t>
            </w:r>
          </w:p>
          <w:p w14:paraId="317881AD">
            <w:pPr>
              <w:spacing w:line="480" w:lineRule="exact"/>
              <w:ind w:firstLine="482"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4</w:t>
            </w:r>
            <w:r>
              <w:rPr>
                <w:rFonts w:hint="default" w:ascii="Times New Roman" w:hAnsi="Times New Roman" w:eastAsia="方正仿宋_GBK" w:cs="方正仿宋_GBK"/>
                <w:b/>
                <w:bCs/>
                <w:color w:val="000000" w:themeColor="text1"/>
                <w:sz w:val="24"/>
                <w:highlight w:val="none"/>
                <w:lang w:val="en-US" w:eastAsia="zh-CN"/>
                <w14:textFill>
                  <w14:solidFill>
                    <w14:schemeClr w14:val="tx1"/>
                  </w14:solidFill>
                </w14:textFill>
              </w:rPr>
              <w:t>.</w:t>
            </w: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方正仿宋_GBK" w:cs="方正仿宋_GBK"/>
                <w:b/>
                <w:bCs/>
                <w:color w:val="000000" w:themeColor="text1"/>
                <w:sz w:val="24"/>
                <w:highlight w:val="none"/>
                <w:lang w:val="en-US" w:eastAsia="zh-CN"/>
                <w14:textFill>
                  <w14:solidFill>
                    <w14:schemeClr w14:val="tx1"/>
                  </w14:solidFill>
                </w14:textFill>
              </w:rPr>
              <w:t>亚高原体育竞技训练基地</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充分发挥巴音乌兰亚高原地域、气候优势，积极探索具有草原特色的亚高原体育竞技训练基地，以加快建设体育强国背景下的体育训练基地为主题，围绕</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亚高原</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体育竞技训练基地建设发展新理念、新动能、新模式、新机制与综合化发展，不断提高体育竞技训练的现代化水平和服务保障能力，为运动员训练、人民群众健身提供更高水平、更高质量的服务，为国内外输送更多马术竞技、赛马人员，加强训练基地</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体育+AI</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创新应用与智慧基地建设，训练基地运动表现与数据分析平台建设与应用建设，训练基地复合型团队与体医融合创新发展等内容，打造专业化、高端化的体育交流平台。</w:t>
            </w:r>
          </w:p>
          <w:p w14:paraId="0209E995">
            <w:pPr>
              <w:spacing w:line="480" w:lineRule="exact"/>
              <w:ind w:firstLine="480"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一是完善基础设施建设，在基地内提供交通、住宿、医院等基础服务，为亚高原体育竞技训练基地提供后备支撑；二是建立亚高原体育训练基地集群，在发展现有基地的同时，进一步协同周边符合条件的苏木镇进行相关产业建设，形成产业集群，如同一项目在亚高原训练基地适应，再向更高海拔训练基地出发，不仅有利于运动训练，还对各个体育竞技训练基地起到串联作用；三是形成差异化，以马术竞技场为基础，联合建设国家级亚高原体育竞技训练基地，在马术竞技优势项目、马术训练理念等资源优势给予基地支持；四是加强云南、贵州等亚高原体育竞技人才输入，定期开展教练员培训班，在田径、游泳、跳水、击剑等项目上加强对外交流合作，同时，可在基地组建摔跤、马术等项目高水平运动队，选拔优秀体育后备人才在基地开展体育竞技训练，实现体育资源优势互补，训练成果共建共享。</w:t>
            </w:r>
          </w:p>
          <w:p w14:paraId="50DF6D6E">
            <w:pPr>
              <w:spacing w:line="480" w:lineRule="exact"/>
              <w:ind w:firstLine="482"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5</w:t>
            </w:r>
            <w:r>
              <w:rPr>
                <w:rFonts w:hint="default" w:ascii="Times New Roman" w:hAnsi="Times New Roman" w:eastAsia="方正仿宋_GBK" w:cs="方正仿宋_GBK"/>
                <w:b/>
                <w:bCs/>
                <w:color w:val="000000" w:themeColor="text1"/>
                <w:sz w:val="24"/>
                <w:highlight w:val="none"/>
                <w:lang w:val="en-US" w:eastAsia="zh-CN"/>
                <w14:textFill>
                  <w14:solidFill>
                    <w14:schemeClr w14:val="tx1"/>
                  </w14:solidFill>
                </w14:textFill>
              </w:rPr>
              <w:t>.马术竞技基地</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通过马术赛事传播</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马精神</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增强广大群众的参与性和互动性，着力推动牧区体育产业和旅游融合发展，提升马产业发展的水平。建立一个具有国际标准的高原马术竞技基地，满足重大赛事需求，能够举办集盛装舞步、场地障碍赛和越野赛于一体的马术三项赛。基地具体建设马匹竞赛场地、热身场、训练场和高规格的马术竞赛设施，以及观众看台等观赛设施；中心内设隔离检疫、观赛、公共服务、媒体工作、组委会办公、服务配套及设备停车等功能区，致力于打造马术训练及竞技观演为一体的特色场馆，助推</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乌拉特马</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w:t>
            </w:r>
            <w:r>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t>产业蓬勃发展，提升在国际马术竞技赛事地位。同时完善马术比赛及相关基础设施，如酒店、医疗中心、康养度假中心、马匹驯养中心等，形成马术比赛产业综合示范区，促进当地马业一二三产融合发展。</w:t>
            </w:r>
          </w:p>
          <w:p w14:paraId="35632B47">
            <w:pPr>
              <w:spacing w:line="480" w:lineRule="exact"/>
              <w:ind w:firstLine="482" w:firstLineChars="200"/>
              <w:rPr>
                <w:rFonts w:hint="eastAsia" w:ascii="Times New Roman" w:hAnsi="Times New Roman" w:eastAsia="方正仿宋_GBK" w:cs="方正仿宋_GBK"/>
                <w:color w:val="000000" w:themeColor="text1"/>
                <w:sz w:val="24"/>
                <w:highlight w:val="none"/>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6</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w:t>
            </w:r>
            <w:r>
              <w:rPr>
                <w:rFonts w:hint="eastAsia" w:ascii="Times New Roman" w:hAnsi="Times New Roman" w:eastAsia="方正仿宋_GBK" w:cs="方正仿宋_GBK"/>
                <w:color w:val="000000" w:themeColor="text1"/>
                <w:sz w:val="24"/>
                <w:highlight w:val="none"/>
                <w14:textFill>
                  <w14:solidFill>
                    <w14:schemeClr w14:val="tx1"/>
                  </w14:solidFill>
                </w14:textFill>
              </w:rPr>
              <w:t xml:space="preserve"> </w:t>
            </w:r>
            <w:r>
              <w:rPr>
                <w:rFonts w:hint="eastAsia" w:ascii="Times New Roman" w:hAnsi="Times New Roman" w:eastAsia="方正仿宋_GBK" w:cs="方正仿宋_GBK"/>
                <w:b/>
                <w:bCs/>
                <w:color w:val="000000" w:themeColor="text1"/>
                <w:sz w:val="24"/>
                <w:highlight w:val="none"/>
                <w14:textFill>
                  <w14:solidFill>
                    <w14:schemeClr w14:val="tx1"/>
                  </w14:solidFill>
                </w14:textFill>
              </w:rPr>
              <w:t>赛马场标准化提升改造工程。</w:t>
            </w:r>
            <w:r>
              <w:rPr>
                <w:rFonts w:hint="eastAsia" w:ascii="Times New Roman" w:hAnsi="Times New Roman" w:eastAsia="方正仿宋_GBK" w:cs="方正仿宋_GBK"/>
                <w:color w:val="000000" w:themeColor="text1"/>
                <w:sz w:val="24"/>
                <w:highlight w:val="none"/>
                <w14:textFill>
                  <w14:solidFill>
                    <w14:schemeClr w14:val="tx1"/>
                  </w14:solidFill>
                </w14:textFill>
              </w:rPr>
              <w:t>对现有赛马场进行提升改造。</w:t>
            </w:r>
          </w:p>
          <w:p w14:paraId="7923418D">
            <w:pPr>
              <w:spacing w:line="480" w:lineRule="exact"/>
              <w:ind w:firstLine="482" w:firstLineChars="200"/>
              <w:rPr>
                <w:rFonts w:hint="default" w:ascii="Times New Roman" w:hAnsi="Times New Roman" w:eastAsia="方正仿宋_GBK" w:cs="方正仿宋_GBK"/>
                <w:color w:val="000000" w:themeColor="text1"/>
                <w:sz w:val="24"/>
                <w:highlight w:val="none"/>
                <w:lang w:val="en-US" w:eastAsia="zh-CN"/>
                <w14:textFill>
                  <w14:solidFill>
                    <w14:schemeClr w14:val="tx1"/>
                  </w14:solidFill>
                </w14:textFill>
              </w:rPr>
            </w:pPr>
            <w:r>
              <w:rPr>
                <w:rFonts w:hint="eastAsia" w:ascii="Times New Roman" w:hAnsi="Times New Roman" w:eastAsia="方正仿宋_GBK" w:cs="方正仿宋_GBK"/>
                <w:b/>
                <w:bCs/>
                <w:color w:val="000000" w:themeColor="text1"/>
                <w:sz w:val="24"/>
                <w:highlight w:val="none"/>
                <w:lang w:val="en-US" w:eastAsia="zh-CN"/>
                <w14:textFill>
                  <w14:solidFill>
                    <w14:schemeClr w14:val="tx1"/>
                  </w14:solidFill>
                </w14:textFill>
              </w:rPr>
              <w:t>7. 全国青少年足球联赛</w:t>
            </w:r>
            <w:r>
              <w:rPr>
                <w:rFonts w:hint="eastAsia" w:ascii="Times New Roman" w:hAnsi="Times New Roman" w:eastAsia="方正仿宋_GBK" w:cs="方正仿宋_GBK"/>
                <w:color w:val="000000" w:themeColor="text1"/>
                <w:sz w:val="24"/>
                <w:highlight w:val="none"/>
                <w:lang w:val="en-US" w:eastAsia="zh-CN"/>
                <w14:textFill>
                  <w14:solidFill>
                    <w14:schemeClr w14:val="tx1"/>
                  </w14:solidFill>
                </w14:textFill>
              </w:rPr>
              <w:t>。积极与教育部、体育总局、中国足协等单位建立联系，争取在巴音乌兰成功举办全国中小型中小学青少年足球联赛，拉动餐饮、住宿等需求，推动全苏木镇域经济发展。</w:t>
            </w:r>
          </w:p>
        </w:tc>
      </w:tr>
    </w:tbl>
    <w:p w14:paraId="32D613FD">
      <w:pPr>
        <w:overflowPunct w:val="0"/>
        <w:spacing w:line="560" w:lineRule="exact"/>
        <w:ind w:firstLine="664" w:firstLineChars="200"/>
        <w:outlineLvl w:val="1"/>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60" w:name="_Toc28445"/>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五</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）加快马产业标准体系建设</w:t>
      </w:r>
      <w:bookmarkEnd w:id="60"/>
    </w:p>
    <w:p w14:paraId="7CB2148F">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完善马产业管理，解决马业标准缺失问题，围绕一二三产重点领域项目开展标准化制定工作，抢占国内现代马产业制高点，提高“乌拉特马”产业在国内马界的话语权，促进“乌拉特马”产业规范健康发展。</w:t>
      </w:r>
    </w:p>
    <w:p w14:paraId="40E13910">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（1）繁殖育种标准化体系建设，重点支持马育种、改良技术、种马选择等标准与规程的制（修）订与推广。</w:t>
      </w:r>
    </w:p>
    <w:p w14:paraId="77B363AE">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（2）健康养殖标准化体系建设，重点支持不同用途马匹科学养殖技术等标准与规程的制（修）定与推广。</w:t>
      </w:r>
    </w:p>
    <w:p w14:paraId="5F737F2D">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（3）疫病防控标准化体系建设，重点支持马匹常见疫病、流行性疾病的预防与诊疗技术等标准与规程的制（修）订与推广。</w:t>
      </w:r>
    </w:p>
    <w:p w14:paraId="1351067D">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（4）产品加工技术标准体系建设，重点支持马乳、马脂、马肉、生物制品等马产品加工过程原料、卫生、加工、包装、运输及产品质量标准与规程的制（修）定与推广。</w:t>
      </w:r>
    </w:p>
    <w:p w14:paraId="5D13C470">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（5）调教训练与性能测定技术标准体系建设，重点支持不同用途马调教训练、性能测定、场地建设等标准与规程的制（修）定与推广。</w:t>
      </w:r>
    </w:p>
    <w:p w14:paraId="5D53E3A7">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（6）品种登记管理技术标准体系建设，重点支持不同品种、登记规则、等级评定等标准与规程的制（修）订与推广。</w:t>
      </w:r>
    </w:p>
    <w:p w14:paraId="4959E178">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（7）场地建设技术标准体系建设，重点支持马场选址、马房建设、设施设备等标准与规程的制（修）订与推广。</w:t>
      </w:r>
    </w:p>
    <w:p w14:paraId="3C0BA282">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（8）赛马赛事技术标准体系建设，重点支持赛事规则、信息发布、赛事运行等标准与规程的制（修）订与推广。</w:t>
      </w:r>
    </w:p>
    <w:p w14:paraId="1F80E455">
      <w:pPr>
        <w:widowControl w:val="0"/>
        <w:adjustRightInd w:val="0"/>
        <w:snapToGrid w:val="0"/>
        <w:spacing w:line="560" w:lineRule="exact"/>
        <w:ind w:firstLine="664" w:firstLineChars="200"/>
        <w:jc w:val="both"/>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（9）文化教育技术标准体系建设，重点支持文化产品、人才培养等标准与规程的制（修）定与推广。</w:t>
      </w:r>
    </w:p>
    <w:p w14:paraId="36AE8004">
      <w:pPr>
        <w:widowControl w:val="0"/>
        <w:adjustRightInd w:val="0"/>
        <w:snapToGrid w:val="0"/>
        <w:spacing w:line="560" w:lineRule="exact"/>
        <w:ind w:firstLine="664" w:firstLineChars="200"/>
        <w:jc w:val="both"/>
        <w:rPr>
          <w:rFonts w:hint="default"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（10）旅游服务技术标准体系建设，重点支持旅游服务马匹选择、相关人员资格、服务定价、服务资格等标准与规程的制（修）定与推广。</w:t>
      </w:r>
    </w:p>
    <w:p w14:paraId="2EE65860">
      <w:pPr>
        <w:overflowPunct w:val="0"/>
        <w:spacing w:line="560" w:lineRule="exact"/>
        <w:ind w:firstLine="664" w:firstLineChars="200"/>
        <w:outlineLvl w:val="1"/>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bookmarkStart w:id="61" w:name="_Toc23614"/>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（六）加强马产业保障体系建设</w:t>
      </w:r>
      <w:bookmarkEnd w:id="61"/>
    </w:p>
    <w:bookmarkEnd w:id="58"/>
    <w:bookmarkEnd w:id="59"/>
    <w:p w14:paraId="3420DBED">
      <w:pPr>
        <w:widowControl w:val="0"/>
        <w:adjustRightInd w:val="0"/>
        <w:snapToGrid w:val="0"/>
        <w:spacing w:line="560" w:lineRule="exact"/>
        <w:ind w:firstLine="664" w:firstLineChars="200"/>
        <w:jc w:val="both"/>
        <w:rPr>
          <w:rFonts w:hint="default"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62" w:name="_Toc22264"/>
      <w:bookmarkStart w:id="63" w:name="_Toc29759"/>
      <w:bookmarkStart w:id="64" w:name="_Toc16786"/>
      <w:r>
        <w:rPr>
          <w:rFonts w:hint="eastAsia" w:ascii="Times New Roman" w:hAnsi="Times New Roman" w:eastAsia="方正仿宋_GBK" w:cs="方正仿宋_GBK"/>
          <w:b w:val="0"/>
          <w:bCs/>
          <w:color w:val="000000" w:themeColor="text1"/>
          <w:spacing w:val="6"/>
          <w:kern w:val="2"/>
          <w:sz w:val="32"/>
          <w:szCs w:val="32"/>
          <w:highlight w:val="none"/>
          <w:lang w:val="en-US" w:eastAsia="zh-CN" w:bidi="ar"/>
          <w14:textFill>
            <w14:solidFill>
              <w14:schemeClr w14:val="tx1"/>
            </w14:solidFill>
          </w14:textFill>
        </w:rPr>
        <w:t>产业保障体系对现代马产业快速发展起基础性作用，是影响和决定产业发展质量、产业链控制力和竞争力的关键体系，是提升现代马产业可持续发展能力和国际竞争力的战略选择。加快马产业基础保障体系建设，实现马产业健康持续发展。</w:t>
      </w:r>
    </w:p>
    <w:bookmarkEnd w:id="62"/>
    <w:bookmarkEnd w:id="63"/>
    <w:bookmarkEnd w:id="64"/>
    <w:p w14:paraId="388CE4AC">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65" w:name="_Toc10055"/>
      <w:bookmarkStart w:id="66" w:name="_Toc10481"/>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1.提高马产业科研水平及应用能力</w:t>
      </w:r>
      <w:bookmarkEnd w:id="65"/>
      <w:bookmarkEnd w:id="66"/>
    </w:p>
    <w:p w14:paraId="22C2E3B7">
      <w:pPr>
        <w:spacing w:line="560" w:lineRule="exact"/>
        <w:ind w:firstLine="640" w:firstLineChars="200"/>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依托区内马产业重点高校、科研院所等创新主体，大力创建</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博士工作站</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科技小院</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等平台载体，力争在马基因序列研究、新品种培育、新产品开发、专用饲草料和兽药研发及马产业技术成果转化等方面取得新突破。构建企业、科研推广机构及专业院校紧密结合的产学研平台，发挥基础研究、技术示范及成果转化作用，面向社会推广新技术、新工艺、新产品。</w:t>
      </w:r>
    </w:p>
    <w:p w14:paraId="055EFF1A">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67" w:name="_Toc25994"/>
      <w:bookmarkStart w:id="68" w:name="_Toc833"/>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2.建立马疫病防控和诊疗体系</w:t>
      </w:r>
      <w:bookmarkEnd w:id="67"/>
      <w:bookmarkEnd w:id="68"/>
    </w:p>
    <w:p w14:paraId="02EFB242">
      <w:pPr>
        <w:spacing w:line="560" w:lineRule="exact"/>
        <w:ind w:firstLine="640" w:firstLineChars="200"/>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鼓励和支持地方涉马企业建设马匹专门医疗机构，为马的检疫、诊断、康复治疗提供专业化服务。整合本地兽医队伍，配齐专业医疗设备，培养和建立全科马兽医临床诊疗队伍，提高诊疗水平，为马匹养殖户提供有效技术指导和服务。</w:t>
      </w:r>
    </w:p>
    <w:p w14:paraId="6A526306">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69" w:name="_Toc32004"/>
      <w:bookmarkStart w:id="70" w:name="_Toc30191"/>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3.加快马产业技术人才培养</w:t>
      </w:r>
      <w:bookmarkEnd w:id="69"/>
      <w:bookmarkEnd w:id="70"/>
    </w:p>
    <w:p w14:paraId="17591C5D">
      <w:pPr>
        <w:spacing w:line="560" w:lineRule="exact"/>
        <w:ind w:firstLine="640" w:firstLineChars="200"/>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实施马产业人才培养专项计划。以</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引进来</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与</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走出去</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相结合的培训方式，加大马匹饲养、马奶收集、保种育种等知识培训，提高饲养管理、疫病防控和调教训练水平，培育10户马产业示范户，培养专业骑师、驯马师、马兽医、饲养师等技能型专业人才，不断增强自身发展造血功能，进一步夯实马产业发展基础。</w:t>
      </w:r>
    </w:p>
    <w:p w14:paraId="4735C93C">
      <w:pPr>
        <w:widowControl w:val="0"/>
        <w:adjustRightInd w:val="0"/>
        <w:snapToGrid w:val="0"/>
        <w:spacing w:line="560" w:lineRule="exact"/>
        <w:ind w:firstLine="643" w:firstLineChars="200"/>
        <w:jc w:val="both"/>
        <w:outlineLvl w:val="2"/>
        <w:rPr>
          <w:rFonts w:hint="default"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71" w:name="_Toc22484"/>
      <w:bookmarkStart w:id="72" w:name="_Toc26344"/>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4.强化信息化服务体系建设</w:t>
      </w:r>
      <w:bookmarkEnd w:id="71"/>
      <w:bookmarkEnd w:id="72"/>
    </w:p>
    <w:p w14:paraId="4CC8CD00">
      <w:pPr>
        <w:spacing w:line="560" w:lineRule="exact"/>
        <w:ind w:firstLine="640" w:firstLineChars="200"/>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针对</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我旗</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马产业信息化水平较低，关键环节缺乏信息技术支撑，标准化、自动化程度低、数据资源分散、割裂，缺乏全局联动和整体优化，马产业信息服务体系建设滞后的局面，以“互联网+”思维，充分利用现代信息技术，以产业链关键环节为切入点，打造可以与国家相关部门信息平台对接的马产业全产业链信息服务平台，推动马产业提质增效和转型升级。</w:t>
      </w:r>
    </w:p>
    <w:p w14:paraId="57258C7C">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73" w:name="_Toc10092"/>
      <w:bookmarkStart w:id="74" w:name="_Toc2189"/>
      <w:bookmarkStart w:id="75" w:name="_Toc25203"/>
      <w:bookmarkStart w:id="76" w:name="_Toc6898"/>
      <w:bookmarkStart w:id="77" w:name="_Toc5717"/>
      <w:bookmarkStart w:id="78" w:name="_Toc16915"/>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5.建立全方位运营平台</w:t>
      </w:r>
      <w:bookmarkEnd w:id="73"/>
      <w:bookmarkEnd w:id="74"/>
      <w:bookmarkEnd w:id="75"/>
      <w:bookmarkEnd w:id="76"/>
    </w:p>
    <w:p w14:paraId="58CBCC4C">
      <w:pPr>
        <w:spacing w:line="560" w:lineRule="exact"/>
        <w:ind w:firstLine="667" w:firstLineChars="200"/>
        <w:rPr>
          <w:rFonts w:ascii="Times New Roman" w:hAnsi="Times New Roman" w:eastAsia="方正仿宋_GBK" w:cs="方正仿宋_GBK"/>
          <w:color w:val="000000" w:themeColor="text1"/>
          <w:spacing w:val="6"/>
          <w:sz w:val="32"/>
          <w:szCs w:val="32"/>
          <w:highlight w:val="none"/>
          <w:lang w:bidi="ar"/>
          <w14:textFill>
            <w14:solidFill>
              <w14:schemeClr w14:val="tx1"/>
            </w14:solidFill>
          </w14:textFill>
        </w:rPr>
      </w:pP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1</w:t>
      </w: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）产业治理平台</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搭建产业治理平台，为</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产业提供更加方便、全面、精准的管理服务。平台整合巴音乌兰农牧业资源，包括马业综合管理、智慧农牧业、环境整治、牧区旅游、赛事数据、政策法规等，提升产业数据可视化程度，优化产业治理效率，以</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互联网+</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带动三产融合发展。通过产业治理平台建设，促进资源整合，支持巴音乌兰农牧业特色产业发展，推进</w:t>
      </w:r>
      <w:r>
        <w:rPr>
          <w:rFonts w:hint="eastAsia" w:ascii="Times New Roman" w:hAnsi="Times New Roman" w:eastAsia="方正仿宋_GBK" w:cs="方正仿宋_GBK"/>
          <w:bCs/>
          <w:color w:val="000000" w:themeColor="text1"/>
          <w:sz w:val="32"/>
          <w:szCs w:val="32"/>
          <w:highlight w:val="none"/>
          <w:lang w:bidi="zh-CN"/>
          <w14:textFill>
            <w14:solidFill>
              <w14:schemeClr w14:val="tx1"/>
            </w14:solidFill>
          </w14:textFill>
        </w:rPr>
        <w:t>“乌拉特马”</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产业可持续发展。</w:t>
      </w:r>
    </w:p>
    <w:p w14:paraId="4127D274">
      <w:pPr>
        <w:spacing w:line="560" w:lineRule="exact"/>
        <w:ind w:firstLine="667" w:firstLineChars="200"/>
        <w:rPr>
          <w:rFonts w:ascii="Times New Roman" w:hAnsi="Times New Roman" w:eastAsia="方正仿宋_GBK" w:cs="方正仿宋_GBK"/>
          <w:color w:val="000000" w:themeColor="text1"/>
          <w:sz w:val="32"/>
          <w:szCs w:val="32"/>
          <w:highlight w:val="none"/>
          <w:lang w:bidi="zh-CN"/>
          <w14:textFill>
            <w14:solidFill>
              <w14:schemeClr w14:val="tx1"/>
            </w14:solidFill>
          </w14:textFill>
        </w:rPr>
      </w:pP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2</w:t>
      </w: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）营销推广平台</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。搭建营销推广平台，</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助力</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巴音乌兰“一镇一品”马产业打响招牌，提升竞争力。一是建立镇域品牌形象，通过互联网新媒体平台，如微信公众号、抖音、微博等，建立品牌形象，打造镇域IP，宣传乡风民俗文化等相关内容，吸引更多人关注。二是投放营销，通过高速大牌、展会推介、品牌形象店等手段造势，提升大众知名度。三是举行节点事件营销活动，自造</w:t>
      </w:r>
      <w:r>
        <w:rPr>
          <w:rFonts w:hint="eastAsia" w:ascii="Times New Roman" w:hAnsi="Times New Roman" w:eastAsia="方正仿宋_GBK" w:cs="方正仿宋_GBK"/>
          <w:color w:val="000000" w:themeColor="text1"/>
          <w:sz w:val="32"/>
          <w:szCs w:val="32"/>
          <w:highlight w:val="none"/>
          <w:lang w:val="en-US" w:bidi="zh-CN"/>
          <w14:textFill>
            <w14:solidFill>
              <w14:schemeClr w14:val="tx1"/>
            </w14:solidFill>
          </w14:textFill>
        </w:rPr>
        <w:t>节庆</w:t>
      </w:r>
      <w:r>
        <w:rPr>
          <w:rFonts w:hint="eastAsia" w:ascii="Times New Roman" w:hAnsi="Times New Roman" w:eastAsia="方正仿宋_GBK" w:cs="方正仿宋_GBK"/>
          <w:color w:val="000000" w:themeColor="text1"/>
          <w:sz w:val="32"/>
          <w:szCs w:val="32"/>
          <w:highlight w:val="none"/>
          <w:lang w:bidi="zh-CN"/>
          <w14:textFill>
            <w14:solidFill>
              <w14:schemeClr w14:val="tx1"/>
            </w14:solidFill>
          </w14:textFill>
        </w:rPr>
        <w:t>，跨界营销，创造社会热点，邀请媒体进行事件采访播报，扩大产业影响力。</w:t>
      </w:r>
    </w:p>
    <w:p w14:paraId="43CEA7AF">
      <w:pPr>
        <w:spacing w:line="560" w:lineRule="exact"/>
        <w:ind w:firstLine="667" w:firstLineChars="200"/>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w:t>
      </w:r>
      <w:r>
        <w:rPr>
          <w:rFonts w:hint="eastAsia" w:ascii="Times New Roman" w:hAnsi="Times New Roman" w:eastAsia="方正仿宋_GBK" w:cs="方正仿宋_GBK"/>
          <w:b/>
          <w:bCs/>
          <w:color w:val="000000" w:themeColor="text1"/>
          <w:spacing w:val="6"/>
          <w:sz w:val="32"/>
          <w:szCs w:val="32"/>
          <w:highlight w:val="none"/>
          <w:lang w:val="en-US" w:eastAsia="zh-CN" w:bidi="ar"/>
          <w14:textFill>
            <w14:solidFill>
              <w14:schemeClr w14:val="tx1"/>
            </w14:solidFill>
          </w14:textFill>
        </w:rPr>
        <w:t>3</w:t>
      </w:r>
      <w:r>
        <w:rPr>
          <w:rFonts w:hint="eastAsia" w:ascii="Times New Roman" w:hAnsi="Times New Roman" w:eastAsia="方正仿宋_GBK" w:cs="方正仿宋_GBK"/>
          <w:b/>
          <w:bCs/>
          <w:color w:val="000000" w:themeColor="text1"/>
          <w:spacing w:val="6"/>
          <w:sz w:val="32"/>
          <w:szCs w:val="32"/>
          <w:highlight w:val="none"/>
          <w:lang w:bidi="ar"/>
          <w14:textFill>
            <w14:solidFill>
              <w14:schemeClr w14:val="tx1"/>
            </w14:solidFill>
          </w14:textFill>
        </w:rPr>
        <w:t>）招商引资平台</w:t>
      </w:r>
      <w:r>
        <w:rPr>
          <w:rFonts w:hint="eastAsia" w:ascii="Times New Roman" w:hAnsi="Times New Roman" w:eastAsia="方正仿宋_GBK" w:cs="方正仿宋_GBK"/>
          <w:b/>
          <w:bCs/>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搭建招商引资平台，推动巴音乌兰</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一镇一品</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产业振兴，区域经济高质量发展。一是完成</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一镇一品</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特色产业发展重点招商引资项目库、招商引资目标企业库建设，编撰特色产业招商引资项目汇编。二是建立巴音乌兰商协会渠道招商联络中心，积极与各大商会、全国</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一镇一品</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特色产业关联商协会，形成全国商协会招商网络。三是建立</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一镇一品</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特色产业引擎性项目招商引资攻关行动计划，集中开展多轮次招商引资对接工作，集中攻坚、精准发力。四是发挥区域间产业互补优势，积极推动蒙渝产业协作，促进马产业集群发展，壮大镇域特色产业。</w:t>
      </w:r>
    </w:p>
    <w:bookmarkEnd w:id="77"/>
    <w:bookmarkEnd w:id="78"/>
    <w:p w14:paraId="112420DB">
      <w:pPr>
        <w:widowControl w:val="0"/>
        <w:adjustRightInd w:val="0"/>
        <w:snapToGrid w:val="0"/>
        <w:spacing w:line="560" w:lineRule="exact"/>
        <w:ind w:firstLine="643" w:firstLineChars="200"/>
        <w:jc w:val="both"/>
        <w:outlineLvl w:val="2"/>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pPr>
      <w:bookmarkStart w:id="79" w:name="_Toc9878"/>
      <w:bookmarkStart w:id="80" w:name="_Toc9630"/>
      <w:r>
        <w:rPr>
          <w:rFonts w:hint="eastAsia" w:ascii="Times New Roman" w:hAnsi="Times New Roman" w:eastAsia="方正仿宋_GBK" w:cs="方正仿宋_GBK"/>
          <w:b/>
          <w:color w:val="000000" w:themeColor="text1"/>
          <w:kern w:val="2"/>
          <w:sz w:val="32"/>
          <w:szCs w:val="32"/>
          <w:highlight w:val="none"/>
          <w:lang w:val="en-US" w:eastAsia="zh-CN" w:bidi="ar-SA"/>
          <w14:textFill>
            <w14:solidFill>
              <w14:schemeClr w14:val="tx1"/>
            </w14:solidFill>
          </w14:textFill>
        </w:rPr>
        <w:t>6.提供金融政策支持</w:t>
      </w:r>
      <w:bookmarkEnd w:id="79"/>
      <w:bookmarkEnd w:id="80"/>
    </w:p>
    <w:p w14:paraId="0F5A3F2E">
      <w:pPr>
        <w:spacing w:line="560" w:lineRule="exact"/>
        <w:ind w:firstLine="664" w:firstLineChars="200"/>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一</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是</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积极推进</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普惠金融服务</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开发牧区乡村振兴金融保险、普惠金融等服务，在牧区面临草场干旱、养殖成本增高情况下提出为牧民量身定做的信贷产品，减轻牧民负担，同时开展牧区金融教育，广泛宣传金融知识，防范受骗。</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二是，</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建立多元化的马产业融资渠道</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鼓励企业主体、民间资本等投入马产业发展。对接沟通金融机构适当提高贷款或授信额度，支持马产业新型经营主体发展。鼓励担保机构为马产业提供信贷融资担保。争取将马纳入畜牧业政策性保险范围，提高马产业抗风险能力。</w:t>
      </w:r>
    </w:p>
    <w:p w14:paraId="3BAC3ACE">
      <w:pPr>
        <w:spacing w:line="560" w:lineRule="exact"/>
        <w:ind w:firstLine="640" w:firstLineChars="200"/>
        <w:outlineLvl w:val="0"/>
        <w:rPr>
          <w:rFonts w:ascii="Times New Roman" w:hAnsi="Times New Roman" w:eastAsia="方正黑体_GBK" w:cs="方正黑体_GBK"/>
          <w:color w:val="000000" w:themeColor="text1"/>
          <w:sz w:val="32"/>
          <w:szCs w:val="32"/>
          <w:highlight w:val="none"/>
          <w14:textFill>
            <w14:solidFill>
              <w14:schemeClr w14:val="tx1"/>
            </w14:solidFill>
          </w14:textFill>
        </w:rPr>
      </w:pPr>
      <w:bookmarkStart w:id="81" w:name="_Toc7222"/>
      <w:bookmarkStart w:id="82" w:name="_Toc25889"/>
      <w:bookmarkStart w:id="83" w:name="_Toc7384"/>
      <w:bookmarkStart w:id="84" w:name="_Toc8398"/>
      <w:r>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t>五</w:t>
      </w: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、建设时序</w:t>
      </w:r>
      <w:bookmarkEnd w:id="81"/>
      <w:bookmarkEnd w:id="82"/>
      <w:bookmarkEnd w:id="83"/>
      <w:bookmarkEnd w:id="84"/>
    </w:p>
    <w:p w14:paraId="6718C930">
      <w:pPr>
        <w:pStyle w:val="20"/>
        <w:spacing w:before="0" w:after="0" w:line="560" w:lineRule="exact"/>
        <w:ind w:firstLine="640" w:firstLineChars="200"/>
        <w:jc w:val="both"/>
        <w:outlineLvl w:val="9"/>
        <w:rPr>
          <w:rFonts w:ascii="Times New Roman" w:hAnsi="Times New Roman" w:eastAsia="方正仿宋_GBK" w:cs="方正仿宋_GBK"/>
          <w:b w:val="0"/>
          <w:color w:val="000000" w:themeColor="text1"/>
          <w:highlight w:val="none"/>
          <w14:textFill>
            <w14:solidFill>
              <w14:schemeClr w14:val="tx1"/>
            </w14:solidFill>
          </w14:textFill>
        </w:rPr>
      </w:pPr>
      <w:bookmarkStart w:id="85" w:name="_Toc15389"/>
      <w:bookmarkStart w:id="86" w:name="_Toc1560"/>
      <w:bookmarkStart w:id="87" w:name="_Toc27763"/>
      <w:bookmarkStart w:id="88" w:name="_Toc7200"/>
      <w:bookmarkStart w:id="89" w:name="_Toc1385"/>
      <w:bookmarkStart w:id="90" w:name="_Toc9333"/>
      <w:bookmarkStart w:id="91" w:name="_Toc10853"/>
      <w:bookmarkStart w:id="92" w:name="_Toc6620"/>
      <w:bookmarkStart w:id="93" w:name="_Toc6047"/>
      <w:r>
        <w:rPr>
          <w:rFonts w:hint="eastAsia" w:ascii="Times New Roman" w:hAnsi="Times New Roman" w:eastAsia="方正仿宋_GBK" w:cs="方正仿宋_GBK"/>
          <w:b w:val="0"/>
          <w:color w:val="000000" w:themeColor="text1"/>
          <w:highlight w:val="none"/>
          <w14:textFill>
            <w14:solidFill>
              <w14:schemeClr w14:val="tx1"/>
            </w14:solidFill>
          </w14:textFill>
        </w:rPr>
        <w:t>按照一年打基础（202</w:t>
      </w:r>
      <w:r>
        <w:rPr>
          <w:rFonts w:hint="eastAsia" w:ascii="Times New Roman" w:hAnsi="Times New Roman" w:eastAsia="方正仿宋_GBK" w:cs="方正仿宋_GBK"/>
          <w:b w:val="0"/>
          <w:color w:val="000000" w:themeColor="text1"/>
          <w:highlight w:val="none"/>
          <w:lang w:val="en-US" w:eastAsia="zh-CN"/>
          <w14:textFill>
            <w14:solidFill>
              <w14:schemeClr w14:val="tx1"/>
            </w14:solidFill>
          </w14:textFill>
        </w:rPr>
        <w:t>4</w:t>
      </w:r>
      <w:r>
        <w:rPr>
          <w:rFonts w:hint="eastAsia" w:ascii="Times New Roman" w:hAnsi="Times New Roman" w:eastAsia="方正仿宋_GBK" w:cs="方正仿宋_GBK"/>
          <w:b w:val="0"/>
          <w:color w:val="000000" w:themeColor="text1"/>
          <w:highlight w:val="none"/>
          <w14:textFill>
            <w14:solidFill>
              <w14:schemeClr w14:val="tx1"/>
            </w14:solidFill>
          </w14:textFill>
        </w:rPr>
        <w:t>年）、两年见成效（202</w:t>
      </w:r>
      <w:r>
        <w:rPr>
          <w:rFonts w:hint="eastAsia" w:ascii="Times New Roman" w:hAnsi="Times New Roman" w:eastAsia="方正仿宋_GBK" w:cs="方正仿宋_GBK"/>
          <w:b w:val="0"/>
          <w:color w:val="000000" w:themeColor="text1"/>
          <w:highlight w:val="none"/>
          <w:lang w:val="en-US" w:eastAsia="zh-CN"/>
          <w14:textFill>
            <w14:solidFill>
              <w14:schemeClr w14:val="tx1"/>
            </w14:solidFill>
          </w14:textFill>
        </w:rPr>
        <w:t>5</w:t>
      </w:r>
      <w:r>
        <w:rPr>
          <w:rFonts w:hint="eastAsia" w:ascii="Times New Roman" w:hAnsi="Times New Roman" w:eastAsia="方正仿宋_GBK" w:cs="方正仿宋_GBK"/>
          <w:b w:val="0"/>
          <w:color w:val="000000" w:themeColor="text1"/>
          <w:highlight w:val="none"/>
          <w14:textFill>
            <w14:solidFill>
              <w14:schemeClr w14:val="tx1"/>
            </w14:solidFill>
          </w14:textFill>
        </w:rPr>
        <w:t>年）、三年大变样（202</w:t>
      </w:r>
      <w:r>
        <w:rPr>
          <w:rFonts w:hint="eastAsia" w:ascii="Times New Roman" w:hAnsi="Times New Roman" w:eastAsia="方正仿宋_GBK" w:cs="方正仿宋_GBK"/>
          <w:b w:val="0"/>
          <w:color w:val="000000" w:themeColor="text1"/>
          <w:highlight w:val="none"/>
          <w:lang w:val="en-US" w:eastAsia="zh-CN"/>
          <w14:textFill>
            <w14:solidFill>
              <w14:schemeClr w14:val="tx1"/>
            </w14:solidFill>
          </w14:textFill>
        </w:rPr>
        <w:t>6</w:t>
      </w:r>
      <w:r>
        <w:rPr>
          <w:rFonts w:hint="eastAsia" w:ascii="Times New Roman" w:hAnsi="Times New Roman" w:eastAsia="方正仿宋_GBK" w:cs="方正仿宋_GBK"/>
          <w:b w:val="0"/>
          <w:color w:val="000000" w:themeColor="text1"/>
          <w:highlight w:val="none"/>
          <w14:textFill>
            <w14:solidFill>
              <w14:schemeClr w14:val="tx1"/>
            </w14:solidFill>
          </w14:textFill>
        </w:rPr>
        <w:t xml:space="preserve"> 年）的步骤，通过优布局、调结构、转方式、强基础、增活力，加快提升现代农牧业发展水平，力争到202</w:t>
      </w:r>
      <w:r>
        <w:rPr>
          <w:rFonts w:hint="eastAsia" w:ascii="Times New Roman" w:hAnsi="Times New Roman" w:eastAsia="方正仿宋_GBK" w:cs="方正仿宋_GBK"/>
          <w:b w:val="0"/>
          <w:color w:val="000000" w:themeColor="text1"/>
          <w:highlight w:val="none"/>
          <w:lang w:val="en-US" w:eastAsia="zh-CN"/>
          <w14:textFill>
            <w14:solidFill>
              <w14:schemeClr w14:val="tx1"/>
            </w14:solidFill>
          </w14:textFill>
        </w:rPr>
        <w:t>6</w:t>
      </w:r>
      <w:r>
        <w:rPr>
          <w:rFonts w:hint="eastAsia" w:ascii="Times New Roman" w:hAnsi="Times New Roman" w:eastAsia="方正仿宋_GBK" w:cs="方正仿宋_GBK"/>
          <w:b w:val="0"/>
          <w:color w:val="000000" w:themeColor="text1"/>
          <w:highlight w:val="none"/>
          <w14:textFill>
            <w14:solidFill>
              <w14:schemeClr w14:val="tx1"/>
            </w14:solidFill>
          </w14:textFill>
        </w:rPr>
        <w:t>年打造健全完善的农牧业现代化产业体系、生产体系和经营体系，建成一二三产融合发展的以</w:t>
      </w:r>
      <w:r>
        <w:rPr>
          <w:rFonts w:hint="eastAsia" w:ascii="Times New Roman" w:hAnsi="Times New Roman" w:eastAsia="方正仿宋_GBK" w:cs="方正仿宋_GBK"/>
          <w:b w:val="0"/>
          <w:color w:val="000000" w:themeColor="text1"/>
          <w:highlight w:val="none"/>
          <w:lang w:eastAsia="zh-CN"/>
          <w14:textFill>
            <w14:solidFill>
              <w14:schemeClr w14:val="tx1"/>
            </w14:solidFill>
          </w14:textFill>
        </w:rPr>
        <w:t>“</w:t>
      </w:r>
      <w:r>
        <w:rPr>
          <w:rFonts w:hint="eastAsia" w:ascii="Times New Roman" w:hAnsi="Times New Roman" w:eastAsia="方正仿宋_GBK" w:cs="方正仿宋_GBK"/>
          <w:b w:val="0"/>
          <w:color w:val="000000" w:themeColor="text1"/>
          <w:highlight w:val="none"/>
          <w14:textFill>
            <w14:solidFill>
              <w14:schemeClr w14:val="tx1"/>
            </w14:solidFill>
          </w14:textFill>
        </w:rPr>
        <w:t>乌拉特马</w:t>
      </w:r>
      <w:r>
        <w:rPr>
          <w:rFonts w:hint="eastAsia" w:ascii="Times New Roman" w:hAnsi="Times New Roman" w:eastAsia="方正仿宋_GBK" w:cs="方正仿宋_GBK"/>
          <w:b w:val="0"/>
          <w:color w:val="000000" w:themeColor="text1"/>
          <w:highlight w:val="none"/>
          <w:lang w:eastAsia="zh-CN"/>
          <w14:textFill>
            <w14:solidFill>
              <w14:schemeClr w14:val="tx1"/>
            </w14:solidFill>
          </w14:textFill>
        </w:rPr>
        <w:t>”</w:t>
      </w:r>
      <w:r>
        <w:rPr>
          <w:rFonts w:hint="eastAsia" w:ascii="Times New Roman" w:hAnsi="Times New Roman" w:eastAsia="方正仿宋_GBK" w:cs="方正仿宋_GBK"/>
          <w:b w:val="0"/>
          <w:color w:val="000000" w:themeColor="text1"/>
          <w:highlight w:val="none"/>
          <w14:textFill>
            <w14:solidFill>
              <w14:schemeClr w14:val="tx1"/>
            </w14:solidFill>
          </w14:textFill>
        </w:rPr>
        <w:t>为核心的</w:t>
      </w:r>
      <w:r>
        <w:rPr>
          <w:rFonts w:hint="eastAsia" w:ascii="Times New Roman" w:hAnsi="Times New Roman" w:eastAsia="方正仿宋_GBK" w:cs="方正仿宋_GBK"/>
          <w:b w:val="0"/>
          <w:color w:val="000000" w:themeColor="text1"/>
          <w:highlight w:val="none"/>
          <w:lang w:eastAsia="zh-CN"/>
          <w14:textFill>
            <w14:solidFill>
              <w14:schemeClr w14:val="tx1"/>
            </w14:solidFill>
          </w14:textFill>
        </w:rPr>
        <w:t>牧文旅</w:t>
      </w:r>
      <w:r>
        <w:rPr>
          <w:rFonts w:hint="eastAsia" w:ascii="Times New Roman" w:hAnsi="Times New Roman" w:eastAsia="方正仿宋_GBK" w:cs="方正仿宋_GBK"/>
          <w:b w:val="0"/>
          <w:color w:val="000000" w:themeColor="text1"/>
          <w:highlight w:val="none"/>
          <w14:textFill>
            <w14:solidFill>
              <w14:schemeClr w14:val="tx1"/>
            </w14:solidFill>
          </w14:textFill>
        </w:rPr>
        <w:t>综合体。</w:t>
      </w:r>
      <w:bookmarkEnd w:id="85"/>
      <w:bookmarkEnd w:id="86"/>
      <w:bookmarkEnd w:id="87"/>
      <w:bookmarkEnd w:id="88"/>
      <w:bookmarkEnd w:id="89"/>
      <w:bookmarkEnd w:id="90"/>
      <w:bookmarkEnd w:id="91"/>
      <w:bookmarkEnd w:id="92"/>
      <w:bookmarkEnd w:id="93"/>
    </w:p>
    <w:p w14:paraId="418FEC7E">
      <w:pPr>
        <w:overflowPunct w:val="0"/>
        <w:spacing w:line="560" w:lineRule="exact"/>
        <w:ind w:firstLine="664" w:firstLineChars="200"/>
        <w:outlineLvl w:val="1"/>
        <w:rPr>
          <w:rFonts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94" w:name="_Toc18015"/>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（一）调研规划阶段（2023年</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12</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月—202</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4</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年</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04</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月）</w:t>
      </w:r>
      <w:bookmarkEnd w:id="94"/>
    </w:p>
    <w:p w14:paraId="46EE6EA0">
      <w:pPr>
        <w:pStyle w:val="28"/>
        <w:spacing w:line="560" w:lineRule="exact"/>
        <w:ind w:firstLine="640" w:firstLineChars="200"/>
        <w:outlineLvl w:val="9"/>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对产业发展现状进行调查研究，准确把握产业定位，按照有利于土地、资本、科技、人才等生产要素集聚、突出探索</w:t>
      </w:r>
      <w:r>
        <w:rPr>
          <w:rFonts w:hint="eastAsia" w:cs="方正仿宋_GBK"/>
          <w:color w:val="000000" w:themeColor="text1"/>
          <w:sz w:val="32"/>
          <w:szCs w:val="32"/>
          <w:highlight w:val="none"/>
          <w:lang w:eastAsia="zh-CN"/>
          <w14:textFill>
            <w14:solidFill>
              <w14:schemeClr w14:val="tx1"/>
            </w14:solidFill>
          </w14:textFill>
        </w:rPr>
        <w:t>一、二、三产业</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融合增值收益的体制机制，聘请高水平设计团队科学编制产业发展建设规划，合理确定牧文旅综合体建设布局，突出以工业化理念</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发展</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牧文旅综合体，加快推进各项前期手续，确保年内具备开工条件。</w:t>
      </w:r>
    </w:p>
    <w:p w14:paraId="17CADD74">
      <w:pPr>
        <w:overflowPunct w:val="0"/>
        <w:spacing w:line="560" w:lineRule="exact"/>
        <w:ind w:firstLine="664" w:firstLineChars="200"/>
        <w:outlineLvl w:val="1"/>
        <w:rPr>
          <w:rFonts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95" w:name="_Toc9585"/>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（二）全面创建阶段（202</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4</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年</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05</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月—202</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5</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年</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12</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月）</w:t>
      </w:r>
      <w:bookmarkEnd w:id="95"/>
    </w:p>
    <w:p w14:paraId="0BB122D0">
      <w:pPr>
        <w:pStyle w:val="28"/>
        <w:spacing w:line="560" w:lineRule="exact"/>
        <w:ind w:firstLine="640" w:firstLineChars="200"/>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坚持新发展理念，坚持以工业化思维高质量发展为主攻方向，按照</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三个着力点、五个关</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键</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环节</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的总体要求，科学规划布局，补短板锻长板，强化上下游延伸、左右链配套、集群式发展，持续提升产业链现代化水平，营造场域载体</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强磁场</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，打造高端要素</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聚集地</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，制定详细的任务书、路线图、时间表、责任制，精准、快速推进各项任务落地落实，初步形成</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一轴·三区·一基地</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空间布局</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val="en-US" w:eastAsia="zh-CN" w:bidi="ar"/>
          <w14:textFill>
            <w14:solidFill>
              <w14:schemeClr w14:val="tx1"/>
            </w14:solidFill>
          </w14:textFill>
        </w:rPr>
        <w:t>和</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一产调结构·二产强加工·三产转方式</w:t>
      </w:r>
      <w:r>
        <w:rPr>
          <w:rFonts w:hint="eastAsia" w:ascii="Times New Roman" w:hAnsi="Times New Roman" w:eastAsia="方正仿宋_GBK" w:cs="方正仿宋_GBK"/>
          <w:color w:val="000000" w:themeColor="text1"/>
          <w:spacing w:val="6"/>
          <w:sz w:val="32"/>
          <w:szCs w:val="32"/>
          <w:highlight w:val="none"/>
          <w:lang w:eastAsia="zh-CN" w:bidi="ar"/>
          <w14:textFill>
            <w14:solidFill>
              <w14:schemeClr w14:val="tx1"/>
            </w14:solidFill>
          </w14:textFill>
        </w:rPr>
        <w:t>”</w:t>
      </w:r>
      <w:r>
        <w:rPr>
          <w:rFonts w:hint="eastAsia" w:ascii="Times New Roman" w:hAnsi="Times New Roman" w:eastAsia="方正仿宋_GBK" w:cs="方正仿宋_GBK"/>
          <w:color w:val="000000" w:themeColor="text1"/>
          <w:spacing w:val="6"/>
          <w:sz w:val="32"/>
          <w:szCs w:val="32"/>
          <w:highlight w:val="none"/>
          <w:lang w:bidi="ar"/>
          <w14:textFill>
            <w14:solidFill>
              <w14:schemeClr w14:val="tx1"/>
            </w14:solidFill>
          </w14:textFill>
        </w:rPr>
        <w:t>产业布局。</w:t>
      </w:r>
    </w:p>
    <w:p w14:paraId="33C605A2">
      <w:pPr>
        <w:overflowPunct w:val="0"/>
        <w:spacing w:line="560" w:lineRule="exact"/>
        <w:ind w:firstLine="664" w:firstLineChars="200"/>
        <w:outlineLvl w:val="1"/>
        <w:rPr>
          <w:rFonts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96" w:name="_Toc13206"/>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（三）巩固提升阶段（202</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6</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年</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01</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月—202</w:t>
      </w:r>
      <w:r>
        <w:rPr>
          <w:rFonts w:hint="eastAsia" w:ascii="Times New Roman" w:hAnsi="Times New Roman" w:eastAsia="方正楷体_GBK" w:cs="方正楷体_GBK"/>
          <w:color w:val="000000" w:themeColor="text1"/>
          <w:spacing w:val="6"/>
          <w:sz w:val="32"/>
          <w:szCs w:val="32"/>
          <w:highlight w:val="none"/>
          <w:lang w:val="en-US" w:eastAsia="zh-CN" w:bidi="ar"/>
          <w14:textFill>
            <w14:solidFill>
              <w14:schemeClr w14:val="tx1"/>
            </w14:solidFill>
          </w14:textFill>
        </w:rPr>
        <w:t>6</w:t>
      </w:r>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年12月）</w:t>
      </w:r>
      <w:bookmarkEnd w:id="96"/>
    </w:p>
    <w:p w14:paraId="2B3D0B93">
      <w:pPr>
        <w:pStyle w:val="28"/>
        <w:spacing w:line="560" w:lineRule="exact"/>
        <w:ind w:firstLine="640" w:firstLineChars="200"/>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努力争创典型，做优机制建设。归纳、提炼、规范创建工作的经验和做法，全面总结推广在责任链条、制度成果、管理办法、重点工程、保障机制等方面的创新做法和有效经验，以点带面推动建立长效机制，全面打响</w:t>
      </w:r>
      <w:r>
        <w:rPr>
          <w:rFonts w:hint="eastAsia" w:ascii="Times New Roman" w:hAnsi="Times New Roman" w:eastAsia="方正仿宋_GBK" w:cs="方正仿宋_GBK"/>
          <w:color w:val="000000" w:themeColor="text1"/>
          <w:sz w:val="32"/>
          <w:szCs w:val="32"/>
          <w:highlight w:val="none"/>
          <w:lang w:val="en-US" w:eastAsia="zh-CN"/>
          <w14:textFill>
            <w14:solidFill>
              <w14:schemeClr w14:val="tx1"/>
            </w14:solidFill>
          </w14:textFill>
        </w:rPr>
        <w:t>巴音乌兰</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一镇一品</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产业品牌。通过现场观摩、研讨交流、媒体宣传，利用各类媒体广泛宣传实施成效和典型经验，助力示范基地扩大影响，提高公众认知度和参与度，营造良好的社会氛围。</w:t>
      </w:r>
    </w:p>
    <w:p w14:paraId="0DAEF541">
      <w:pPr>
        <w:spacing w:line="560" w:lineRule="exact"/>
        <w:ind w:firstLine="640" w:firstLineChars="200"/>
        <w:outlineLvl w:val="0"/>
        <w:rPr>
          <w:rFonts w:ascii="Times New Roman" w:hAnsi="Times New Roman" w:eastAsia="方正黑体_GBK" w:cs="方正黑体_GBK"/>
          <w:color w:val="000000" w:themeColor="text1"/>
          <w:sz w:val="32"/>
          <w:szCs w:val="32"/>
          <w:highlight w:val="none"/>
          <w14:textFill>
            <w14:solidFill>
              <w14:schemeClr w14:val="tx1"/>
            </w14:solidFill>
          </w14:textFill>
        </w:rPr>
      </w:pPr>
      <w:bookmarkStart w:id="97" w:name="_Toc10303"/>
      <w:bookmarkStart w:id="98" w:name="_Toc31766"/>
      <w:bookmarkStart w:id="99" w:name="_Toc20779"/>
      <w:bookmarkStart w:id="100" w:name="_Toc30471"/>
      <w:r>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t>六</w:t>
      </w: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、组织保障</w:t>
      </w:r>
      <w:bookmarkEnd w:id="97"/>
      <w:bookmarkEnd w:id="98"/>
      <w:bookmarkEnd w:id="99"/>
      <w:bookmarkEnd w:id="100"/>
    </w:p>
    <w:p w14:paraId="4AAF8F7D">
      <w:pPr>
        <w:overflowPunct w:val="0"/>
        <w:spacing w:line="560" w:lineRule="exact"/>
        <w:ind w:firstLine="664" w:firstLineChars="200"/>
        <w:outlineLvl w:val="1"/>
        <w:rPr>
          <w:rFonts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101" w:name="_Toc21321"/>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（一）加强组织领导</w:t>
      </w:r>
      <w:bookmarkEnd w:id="101"/>
    </w:p>
    <w:p w14:paraId="6EAA11FC">
      <w:pPr>
        <w:pBdr>
          <w:top w:val="none" w:color="auto" w:sz="0" w:space="1"/>
          <w:left w:val="none" w:color="auto" w:sz="0" w:space="4"/>
          <w:bottom w:val="none" w:color="auto" w:sz="0" w:space="1"/>
          <w:right w:val="none" w:color="auto" w:sz="0" w:space="4"/>
        </w:pBdr>
        <w:adjustRightInd w:val="0"/>
        <w:snapToGrid w:val="0"/>
        <w:spacing w:line="560" w:lineRule="exact"/>
        <w:ind w:firstLine="640" w:firstLineChars="200"/>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苏木成立由主要领导任组长，相关分管领导任副组长的巴音乌兰</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产业发展工作专班，形成上下联动、分工明确、一抓到底的工作体系，定期召开专题会议，协调解决建设过程中遇到的梗阻困难，进一步明确</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任务书</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、制定</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路线图</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、排出</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时间表</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、落实责任制，实行清单化、项目管理。</w:t>
      </w:r>
    </w:p>
    <w:p w14:paraId="1755FE63">
      <w:pPr>
        <w:overflowPunct w:val="0"/>
        <w:spacing w:line="560" w:lineRule="exact"/>
        <w:ind w:firstLine="664" w:firstLineChars="200"/>
        <w:outlineLvl w:val="1"/>
        <w:rPr>
          <w:rFonts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102" w:name="_Toc14900"/>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（二）强化争资争项</w:t>
      </w:r>
      <w:bookmarkEnd w:id="102"/>
    </w:p>
    <w:p w14:paraId="40A3F9F1">
      <w:pPr>
        <w:widowControl w:val="0"/>
        <w:spacing w:line="560" w:lineRule="exact"/>
        <w:ind w:left="0" w:firstLine="640" w:firstLineChars="200"/>
        <w:jc w:val="both"/>
        <w:rPr>
          <w:rFonts w:ascii="Times New Roman" w:hAnsi="Times New Roman" w:eastAsia="方正仿宋_GBK" w:cs="方正仿宋_GBK"/>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方正仿宋_GBK" w:cs="方正仿宋_GBK"/>
          <w:color w:val="000000" w:themeColor="text1"/>
          <w:kern w:val="2"/>
          <w:sz w:val="32"/>
          <w:szCs w:val="32"/>
          <w:highlight w:val="none"/>
          <w:lang w:val="en-US" w:eastAsia="zh-CN" w:bidi="ar-SA"/>
          <w14:textFill>
            <w14:solidFill>
              <w14:schemeClr w14:val="tx1"/>
            </w14:solidFill>
          </w14:textFill>
        </w:rPr>
        <w:t>围绕</w:t>
      </w:r>
      <w:r>
        <w:rPr>
          <w:rFonts w:hint="eastAsia" w:ascii="Times New Roman" w:hAnsi="Times New Roman" w:eastAsia="方正仿宋_GBK" w:cs="方正仿宋_GBK"/>
          <w:color w:val="000000" w:themeColor="text1"/>
          <w:spacing w:val="6"/>
          <w:kern w:val="2"/>
          <w:sz w:val="32"/>
          <w:szCs w:val="32"/>
          <w:highlight w:val="none"/>
          <w:lang w:val="zh-CN" w:eastAsia="zh-CN" w:bidi="ar"/>
          <w14:textFill>
            <w14:solidFill>
              <w14:schemeClr w14:val="tx1"/>
            </w14:solidFill>
          </w14:textFill>
        </w:rPr>
        <w:t>“一轴·三区·一基地”空间布局、“一产调结构·二产强加工·三产转方式”产业布局</w:t>
      </w:r>
      <w:r>
        <w:rPr>
          <w:rFonts w:hint="eastAsia" w:ascii="Times New Roman" w:hAnsi="Times New Roman" w:eastAsia="方正仿宋_GBK" w:cs="方正仿宋_GBK"/>
          <w:color w:val="000000" w:themeColor="text1"/>
          <w:kern w:val="2"/>
          <w:sz w:val="32"/>
          <w:szCs w:val="32"/>
          <w:highlight w:val="none"/>
          <w:lang w:val="en-US" w:eastAsia="zh-CN" w:bidi="ar-SA"/>
          <w14:textFill>
            <w14:solidFill>
              <w14:schemeClr w14:val="tx1"/>
            </w14:solidFill>
          </w14:textFill>
        </w:rPr>
        <w:t>，以创建“乌拉特马”牧文旅综合体为目标，在争资争项上精准发力，通过获取政策信息、精准对接项目、拓宽资金渠道，统筹谋划加强项目储备，打好“争”的基础。要根据国家、自治区、市、旗产业政策支持方向，争取国家、自治区文化产业和旅游产业发展专项资金对重大项目的支持。在招商引资上持续发力，鼓励和引导社会资本参与研学体验、文化交流、马产品研发生产，助力</w:t>
      </w:r>
      <w:r>
        <w:rPr>
          <w:rFonts w:hint="eastAsia" w:ascii="Times New Roman" w:hAnsi="Times New Roman" w:eastAsia="方正仿宋_GBK" w:cs="方正仿宋_GBK"/>
          <w:color w:val="000000" w:themeColor="text1"/>
          <w:kern w:val="2"/>
          <w:sz w:val="32"/>
          <w:szCs w:val="32"/>
          <w:highlight w:val="none"/>
          <w:lang w:val="zh-CN" w:eastAsia="zh-CN" w:bidi="zh-CN"/>
          <w14:textFill>
            <w14:solidFill>
              <w14:schemeClr w14:val="tx1"/>
            </w14:solidFill>
          </w14:textFill>
        </w:rPr>
        <w:t>“乌拉特马”</w:t>
      </w:r>
      <w:r>
        <w:rPr>
          <w:rFonts w:hint="eastAsia" w:ascii="Times New Roman" w:hAnsi="Times New Roman" w:eastAsia="方正仿宋_GBK" w:cs="方正仿宋_GBK"/>
          <w:color w:val="000000" w:themeColor="text1"/>
          <w:kern w:val="2"/>
          <w:sz w:val="32"/>
          <w:szCs w:val="32"/>
          <w:highlight w:val="none"/>
          <w:lang w:val="en-US" w:eastAsia="zh-CN" w:bidi="ar-SA"/>
          <w14:textFill>
            <w14:solidFill>
              <w14:schemeClr w14:val="tx1"/>
            </w14:solidFill>
          </w14:textFill>
        </w:rPr>
        <w:t>马产业建设。</w:t>
      </w:r>
    </w:p>
    <w:p w14:paraId="5933FE12">
      <w:pPr>
        <w:overflowPunct w:val="0"/>
        <w:spacing w:line="560" w:lineRule="exact"/>
        <w:ind w:firstLine="664" w:firstLineChars="200"/>
        <w:outlineLvl w:val="1"/>
        <w:rPr>
          <w:rFonts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103" w:name="_Toc1041"/>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（三）落实工作责任</w:t>
      </w:r>
      <w:bookmarkEnd w:id="103"/>
    </w:p>
    <w:p w14:paraId="5B7B1674">
      <w:pPr>
        <w:spacing w:line="560" w:lineRule="exact"/>
        <w:ind w:firstLine="640" w:firstLineChars="200"/>
        <w:rPr>
          <w:rFonts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要高度重视</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乌拉特马</w:t>
      </w:r>
      <w:r>
        <w:rPr>
          <w:rFonts w:hint="eastAsia" w:ascii="Times New Roman" w:hAnsi="Times New Roman" w:eastAsia="方正仿宋_GBK" w:cs="方正仿宋_GBK"/>
          <w:color w:val="000000" w:themeColor="text1"/>
          <w:sz w:val="32"/>
          <w:szCs w:val="32"/>
          <w:highlight w:val="none"/>
          <w:lang w:eastAsia="zh-CN"/>
          <w14:textFill>
            <w14:solidFill>
              <w14:schemeClr w14:val="tx1"/>
            </w14:solidFill>
          </w14:textFill>
        </w:rPr>
        <w:t>”</w:t>
      </w: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产业高质量发展工作，积极主动作为，加强协作配合，形成工作合力，强化政策措施，严格落实责任，将质量兴牧作为推动乡村牧区振兴、全面小康社会建设的重要举措来抓，确保各项工作落实落地落细，共同推动畜牧业高质量发展。</w:t>
      </w:r>
    </w:p>
    <w:p w14:paraId="5609A41B">
      <w:pPr>
        <w:overflowPunct w:val="0"/>
        <w:spacing w:line="560" w:lineRule="exact"/>
        <w:ind w:firstLine="664" w:firstLineChars="200"/>
        <w:outlineLvl w:val="1"/>
        <w:rPr>
          <w:rFonts w:ascii="Times New Roman" w:hAnsi="Times New Roman" w:eastAsia="方正楷体_GBK" w:cs="方正楷体_GBK"/>
          <w:color w:val="000000" w:themeColor="text1"/>
          <w:spacing w:val="6"/>
          <w:sz w:val="32"/>
          <w:szCs w:val="32"/>
          <w:highlight w:val="none"/>
          <w:lang w:bidi="ar"/>
          <w14:textFill>
            <w14:solidFill>
              <w14:schemeClr w14:val="tx1"/>
            </w14:solidFill>
          </w14:textFill>
        </w:rPr>
      </w:pPr>
      <w:bookmarkStart w:id="104" w:name="_Toc5518"/>
      <w:r>
        <w:rPr>
          <w:rFonts w:hint="eastAsia" w:ascii="Times New Roman" w:hAnsi="Times New Roman" w:eastAsia="方正楷体_GBK" w:cs="方正楷体_GBK"/>
          <w:color w:val="000000" w:themeColor="text1"/>
          <w:spacing w:val="6"/>
          <w:sz w:val="32"/>
          <w:szCs w:val="32"/>
          <w:highlight w:val="none"/>
          <w:lang w:bidi="ar"/>
          <w14:textFill>
            <w14:solidFill>
              <w14:schemeClr w14:val="tx1"/>
            </w14:solidFill>
          </w14:textFill>
        </w:rPr>
        <w:t>（四）加强宣传引导</w:t>
      </w:r>
      <w:bookmarkEnd w:id="104"/>
    </w:p>
    <w:p w14:paraId="5F651F44">
      <w:pPr>
        <w:pStyle w:val="28"/>
        <w:spacing w:line="560" w:lineRule="exact"/>
        <w:ind w:firstLine="640" w:firstLineChars="200"/>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r>
        <w:rPr>
          <w:rFonts w:hint="eastAsia" w:ascii="Times New Roman" w:hAnsi="Times New Roman" w:eastAsia="方正仿宋_GBK" w:cs="方正仿宋_GBK"/>
          <w:color w:val="000000" w:themeColor="text1"/>
          <w:sz w:val="32"/>
          <w:szCs w:val="32"/>
          <w:highlight w:val="none"/>
          <w14:textFill>
            <w14:solidFill>
              <w14:schemeClr w14:val="tx1"/>
            </w14:solidFill>
          </w14:textFill>
        </w:rPr>
        <w:t>要充分利用灵活多样的宣传方式，通过算账养畜、典型示范，多方位、多角度宣传国家、自治区、市和旗畜牧业发展相关政策，宣传马产业园建设中涌现出的先进典型和先进经验做法，宣传牧区绿色、有机、无污染、纯天然的放牧环境，引导广大牧民转变生产经营方式、提高科学饲养水平，促进马产业高质量发展。</w:t>
      </w:r>
    </w:p>
    <w:p w14:paraId="2345C765">
      <w:pPr>
        <w:ind w:left="0" w:leftChars="0" w:firstLine="0" w:firstLineChars="0"/>
        <w:rPr>
          <w:rFonts w:hint="eastAsia" w:ascii="Times New Roman" w:hAnsi="Times New Roman" w:eastAsia="方正仿宋_GBK" w:cs="方正仿宋_GBK"/>
          <w:color w:val="000000" w:themeColor="text1"/>
          <w:sz w:val="32"/>
          <w:szCs w:val="32"/>
          <w:highlight w:val="none"/>
          <w14:textFill>
            <w14:solidFill>
              <w14:schemeClr w14:val="tx1"/>
            </w14:solidFill>
          </w14:textFill>
        </w:rPr>
        <w:sectPr>
          <w:footerReference r:id="rId9" w:type="default"/>
          <w:pgSz w:w="11906" w:h="16838"/>
          <w:pgMar w:top="1440" w:right="1800" w:bottom="1440" w:left="1800" w:header="851" w:footer="992" w:gutter="0"/>
          <w:pgNumType w:fmt="decimal" w:start="1"/>
          <w:cols w:space="0" w:num="1"/>
          <w:rtlGutter w:val="0"/>
          <w:docGrid w:linePitch="312" w:charSpace="0"/>
        </w:sectPr>
      </w:pPr>
    </w:p>
    <w:p w14:paraId="26CBEF8B">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Times New Roman" w:hAnsi="Times New Roman" w:eastAsia="方正黑体_GBK" w:cs="方正黑体_GBK"/>
          <w:b w:val="0"/>
          <w:bCs w:val="0"/>
          <w:sz w:val="32"/>
          <w:szCs w:val="32"/>
          <w:highlight w:val="none"/>
          <w:lang w:val="en-US" w:eastAsia="zh-CN"/>
        </w:rPr>
      </w:pPr>
      <w:bookmarkStart w:id="105" w:name="_Toc4870"/>
      <w:r>
        <w:rPr>
          <w:rFonts w:hint="eastAsia" w:ascii="Times New Roman" w:hAnsi="Times New Roman" w:eastAsia="方正黑体_GBK" w:cs="方正黑体_GBK"/>
          <w:b w:val="0"/>
          <w:bCs w:val="0"/>
          <w:sz w:val="32"/>
          <w:szCs w:val="32"/>
          <w:highlight w:val="none"/>
          <w:lang w:val="en-US" w:eastAsia="zh-CN"/>
        </w:rPr>
        <w:t>附件</w:t>
      </w:r>
      <w:bookmarkEnd w:id="105"/>
    </w:p>
    <w:p w14:paraId="461BB0E7">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Times New Roman" w:hAnsi="Times New Roman" w:eastAsia="方正黑体_GBK" w:cs="方正黑体_GBK"/>
          <w:b w:val="0"/>
          <w:bCs w:val="0"/>
          <w:sz w:val="32"/>
          <w:szCs w:val="32"/>
          <w:highlight w:val="none"/>
          <w:lang w:val="en-US" w:eastAsia="zh-CN"/>
        </w:rPr>
      </w:pPr>
      <w:r>
        <w:rPr>
          <w:rFonts w:hint="eastAsia" w:eastAsia="方正黑体_GBK" w:cs="方正黑体_GBK"/>
          <w:b w:val="0"/>
          <w:bCs w:val="0"/>
          <w:sz w:val="32"/>
          <w:szCs w:val="32"/>
          <w:highlight w:val="none"/>
          <w:lang w:val="en-US" w:eastAsia="zh-CN"/>
        </w:rPr>
        <w:t>巴音乌兰苏木“一镇一品”和“一村一品”庭院经济</w:t>
      </w:r>
      <w:r>
        <w:rPr>
          <w:rFonts w:hint="eastAsia" w:ascii="Times New Roman" w:hAnsi="Times New Roman" w:eastAsia="方正黑体_GBK" w:cs="方正黑体_GBK"/>
          <w:b w:val="0"/>
          <w:bCs w:val="0"/>
          <w:sz w:val="32"/>
          <w:szCs w:val="32"/>
          <w:highlight w:val="none"/>
          <w:lang w:val="en-US" w:eastAsia="zh-CN"/>
        </w:rPr>
        <w:t>项目清单</w:t>
      </w:r>
    </w:p>
    <w:tbl>
      <w:tblPr>
        <w:tblStyle w:val="23"/>
        <w:tblpPr w:leftFromText="180" w:rightFromText="180" w:vertAnchor="text" w:horzAnchor="page" w:tblpX="799" w:tblpY="666"/>
        <w:tblOverlap w:val="never"/>
        <w:tblW w:w="541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2"/>
        <w:gridCol w:w="1651"/>
        <w:gridCol w:w="1423"/>
        <w:gridCol w:w="7051"/>
        <w:gridCol w:w="1449"/>
        <w:gridCol w:w="1691"/>
      </w:tblGrid>
      <w:tr w14:paraId="10513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4F0301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ascii="方正仿宋_GBK" w:hAnsi="方正仿宋_GBK" w:eastAsia="方正仿宋_GBK" w:cs="方正仿宋_GBK"/>
                <w:b/>
                <w:bCs/>
                <w:i w:val="0"/>
                <w:iCs w:val="0"/>
                <w:color w:val="000000" w:themeColor="text1"/>
                <w:sz w:val="28"/>
                <w:szCs w:val="28"/>
                <w:u w:val="none"/>
                <w14:textFill>
                  <w14:solidFill>
                    <w14:schemeClr w14:val="tx1"/>
                  </w14:solidFill>
                </w14:textFill>
              </w:rPr>
            </w:pPr>
            <w:r>
              <w:rPr>
                <w:rFonts w:hint="eastAsia" w:ascii="方正仿宋_GBK" w:hAnsi="方正仿宋_GBK" w:eastAsia="方正仿宋_GBK" w:cs="方正仿宋_GBK"/>
                <w:b/>
                <w:bCs/>
                <w:i w:val="0"/>
                <w:iCs w:val="0"/>
                <w:color w:val="000000" w:themeColor="text1"/>
                <w:kern w:val="0"/>
                <w:sz w:val="28"/>
                <w:szCs w:val="28"/>
                <w:u w:val="none"/>
                <w:lang w:val="en-US" w:eastAsia="zh-CN" w:bidi="ar"/>
                <w14:textFill>
                  <w14:solidFill>
                    <w14:schemeClr w14:val="tx1"/>
                  </w14:solidFill>
                </w14:textFill>
              </w:rPr>
              <w:t>项目名称</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AEB5D5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bCs/>
                <w:i w:val="0"/>
                <w:iCs w:val="0"/>
                <w:color w:val="000000" w:themeColor="text1"/>
                <w:sz w:val="28"/>
                <w:szCs w:val="28"/>
                <w:u w:val="none"/>
                <w14:textFill>
                  <w14:solidFill>
                    <w14:schemeClr w14:val="tx1"/>
                  </w14:solidFill>
                </w14:textFill>
              </w:rPr>
            </w:pPr>
            <w:r>
              <w:rPr>
                <w:rFonts w:hint="eastAsia" w:ascii="方正仿宋_GBK" w:hAnsi="方正仿宋_GBK" w:eastAsia="方正仿宋_GBK" w:cs="方正仿宋_GBK"/>
                <w:b/>
                <w:bCs/>
                <w:i w:val="0"/>
                <w:iCs w:val="0"/>
                <w:color w:val="000000" w:themeColor="text1"/>
                <w:kern w:val="0"/>
                <w:sz w:val="28"/>
                <w:szCs w:val="28"/>
                <w:u w:val="none"/>
                <w:lang w:val="en-US" w:eastAsia="zh-CN" w:bidi="ar"/>
                <w14:textFill>
                  <w14:solidFill>
                    <w14:schemeClr w14:val="tx1"/>
                  </w14:solidFill>
                </w14:textFill>
              </w:rPr>
              <w:t>建设地点</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7C46C9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bCs/>
                <w:i w:val="0"/>
                <w:iCs w:val="0"/>
                <w:color w:val="000000" w:themeColor="text1"/>
                <w:sz w:val="28"/>
                <w:szCs w:val="28"/>
                <w:u w:val="none"/>
                <w14:textFill>
                  <w14:solidFill>
                    <w14:schemeClr w14:val="tx1"/>
                  </w14:solidFill>
                </w14:textFill>
              </w:rPr>
            </w:pPr>
            <w:r>
              <w:rPr>
                <w:rFonts w:hint="eastAsia" w:ascii="方正仿宋_GBK" w:hAnsi="方正仿宋_GBK" w:eastAsia="方正仿宋_GBK" w:cs="方正仿宋_GBK"/>
                <w:b/>
                <w:bCs/>
                <w:i w:val="0"/>
                <w:iCs w:val="0"/>
                <w:color w:val="000000" w:themeColor="text1"/>
                <w:kern w:val="0"/>
                <w:sz w:val="28"/>
                <w:szCs w:val="28"/>
                <w:u w:val="none"/>
                <w:lang w:val="en-US" w:eastAsia="zh-CN" w:bidi="ar"/>
                <w14:textFill>
                  <w14:solidFill>
                    <w14:schemeClr w14:val="tx1"/>
                  </w14:solidFill>
                </w14:textFill>
              </w:rPr>
              <w:t>总投资（万元）</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415DBC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bCs/>
                <w:i w:val="0"/>
                <w:iCs w:val="0"/>
                <w:color w:val="000000" w:themeColor="text1"/>
                <w:sz w:val="28"/>
                <w:szCs w:val="28"/>
                <w:u w:val="none"/>
                <w14:textFill>
                  <w14:solidFill>
                    <w14:schemeClr w14:val="tx1"/>
                  </w14:solidFill>
                </w14:textFill>
              </w:rPr>
            </w:pPr>
            <w:r>
              <w:rPr>
                <w:rFonts w:hint="eastAsia" w:ascii="方正仿宋_GBK" w:hAnsi="方正仿宋_GBK" w:eastAsia="方正仿宋_GBK" w:cs="方正仿宋_GBK"/>
                <w:b/>
                <w:bCs/>
                <w:i w:val="0"/>
                <w:iCs w:val="0"/>
                <w:color w:val="000000" w:themeColor="text1"/>
                <w:kern w:val="0"/>
                <w:sz w:val="28"/>
                <w:szCs w:val="28"/>
                <w:u w:val="none"/>
                <w:lang w:val="en-US" w:eastAsia="zh-CN" w:bidi="ar"/>
                <w14:textFill>
                  <w14:solidFill>
                    <w14:schemeClr w14:val="tx1"/>
                  </w14:solidFill>
                </w14:textFill>
              </w:rPr>
              <w:t>项目建设规模及内容</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FB826E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bCs/>
                <w:i w:val="0"/>
                <w:iCs w:val="0"/>
                <w:color w:val="000000" w:themeColor="text1"/>
                <w:sz w:val="28"/>
                <w:szCs w:val="28"/>
                <w:u w:val="none"/>
                <w14:textFill>
                  <w14:solidFill>
                    <w14:schemeClr w14:val="tx1"/>
                  </w14:solidFill>
                </w14:textFill>
              </w:rPr>
            </w:pPr>
            <w:r>
              <w:rPr>
                <w:rFonts w:hint="eastAsia" w:ascii="方正仿宋_GBK" w:hAnsi="方正仿宋_GBK" w:eastAsia="方正仿宋_GBK" w:cs="方正仿宋_GBK"/>
                <w:b/>
                <w:bCs/>
                <w:i w:val="0"/>
                <w:iCs w:val="0"/>
                <w:color w:val="000000" w:themeColor="text1"/>
                <w:kern w:val="0"/>
                <w:sz w:val="28"/>
                <w:szCs w:val="28"/>
                <w:u w:val="none"/>
                <w:lang w:val="en-US" w:eastAsia="zh-CN" w:bidi="ar"/>
                <w14:textFill>
                  <w14:solidFill>
                    <w14:schemeClr w14:val="tx1"/>
                  </w14:solidFill>
                </w14:textFill>
              </w:rPr>
              <w:t>投资类别</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D39861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bCs/>
                <w:i w:val="0"/>
                <w:iCs w:val="0"/>
                <w:color w:val="000000" w:themeColor="text1"/>
                <w:sz w:val="28"/>
                <w:szCs w:val="28"/>
                <w:u w:val="none"/>
                <w14:textFill>
                  <w14:solidFill>
                    <w14:schemeClr w14:val="tx1"/>
                  </w14:solidFill>
                </w14:textFill>
              </w:rPr>
            </w:pPr>
            <w:r>
              <w:rPr>
                <w:rFonts w:hint="eastAsia" w:ascii="方正仿宋_GBK" w:hAnsi="方正仿宋_GBK" w:eastAsia="方正仿宋_GBK" w:cs="方正仿宋_GBK"/>
                <w:b/>
                <w:bCs/>
                <w:i w:val="0"/>
                <w:iCs w:val="0"/>
                <w:color w:val="000000" w:themeColor="text1"/>
                <w:kern w:val="0"/>
                <w:sz w:val="28"/>
                <w:szCs w:val="28"/>
                <w:u w:val="none"/>
                <w:lang w:val="en-US" w:eastAsia="zh-CN" w:bidi="ar"/>
                <w14:textFill>
                  <w14:solidFill>
                    <w14:schemeClr w14:val="tx1"/>
                  </w14:solidFill>
                </w14:textFill>
              </w:rPr>
              <w:t>建设年限</w:t>
            </w:r>
          </w:p>
        </w:tc>
      </w:tr>
      <w:tr w14:paraId="538C7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78ADF7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巴音乌兰苏木徐木匠食品有限公司福味源食品加工项目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01325F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乌拉特味道产业园</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BAEB7B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1200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034848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项目规划用地5000平米，建设厂房5000平米，主要研发生产农畜产品深加工，羊牛肉类罐头，锅茶系列产品，预计生产能力500吨牛羊肉产品。</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E4597B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企业投资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678A6A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1A29B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B2B188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巴音乌兰苏木东达乌素嘎查300平米畜产品加工场项目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DD2D70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巴音乌兰苏木东达乌素嘎查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291A4F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300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AD8791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实施畜产品加工项目，拟投资300万元建设一处300平米的加工场，其中，加工生产设施160万，冷库房设施80万、监控设备、消毒设备、清洗台、真空包装等大概40万元。</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A04DA6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564D3B1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3B7B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9359CA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巴音乌兰苏木吉日格楞图嘎查牧草种植与农机社会化服务综合发展项目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48C0EC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巴音乌兰苏木吉日格楞图嘎查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73C4CB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A55BCF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打造农机社会化服务队。建设内容：拟投资200万元，打造一支服务周边5个嘎查种植面积1万余亩（含桑根达来嘎查、巴音查干嘎查、阿日胡都格嘎查、新尼乌素嘎查、吉日格楞图嘎查）的农机社会化服务队。新建500平方米饲草料储备库1座，汽油运输车1台、200马力拖拉机2台、 配套调幅犁1套、联合整地机1台、精量三膜播种机1台、秸秆玉米联合收割机1台、牧草揉丝机1台、双破打捆机1台、残膜回收机2台。</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B30B4A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6C4777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35C07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7E9825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巴音乌兰苏木桑根达来嘎查草原驿站</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EBAD47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巴音乌兰苏木桑根达来嘎查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FDA199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903104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在331国道建设一处8000平米草原驿站，集加油加气与餐饮一体化服务站，其中100平米归桑根达来嘎查集体所有，并由嘎查集体经营餐饮超市及农畜产品销售，为路过服务站群众提供便利，解决周边群众生活用品购入难的问题，同时为嘎查集体经济带来活力、注入活水，实现壮大嘎查集体经济。</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D8E6AA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企业投资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817610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59B0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0E3A6B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巴音乌兰苏木东达乌素嘎查草原监测保护站</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B9F051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巴音乌兰苏木东达乌素嘎查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AD7528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221495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建设占地500平米草原监测保护站，集草原草场监测保护、草原生态修复成果展示、生态修复教育培训基地、管护人员管护站、草原森林防火检测、野生动物保护站、野生动物观赏摄影、巡边体验等功能。</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A432B0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F059BA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5D34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26286B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巴音乌兰苏木努和日乐嘎查自治区乌拉特马核心种马场项目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4C058E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巴音乌兰苏木努和日乐嘎查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14BF25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无</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16E379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由企业培育148匹乌拉特枣骝马，进行蒙古马保种育种，以此开展畜禽遗传采集和评定，申报乌拉特蒙古马命名工作。</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095C11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无</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E8391E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w:t>
            </w:r>
          </w:p>
        </w:tc>
      </w:tr>
      <w:tr w14:paraId="025B8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BFB15D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巴音乌兰苏木驯马师培训基地（马术马匹驯养中心）</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46FBF6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26BF4F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600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9C731B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培训学校包括马房工作区、户外探索区、马匹护理区、专业马术骑乘技能区，马术知识、马术礼仪、手工创作区等，可以通过培训取得国家二级运动员证书，开设马匹驯养，马术礼仪、绅士教育、营地教育学习以及专业的体育训练板块，同时可满足举办国际、国内马术赛事要求。</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CD3DF8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4753AC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7582C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F7003E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巴音乌兰苏木升级打造智慧家庭生态牧场项目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0D3265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10495F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750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F85798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通过“科技+”现代牧场模式，在每个嘎查打造1个试点，建设智能棚圈、智能水槽、草牧场电子监控设备，实现牧民的远程放牧、一键饮水、牧场监测等，真正实现“互联网+”传统牧业的现代化发展，打造市级现代化智慧牧场。</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20C90A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C1D04D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78A67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BB3726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巴音乌兰苏木乌兰温都尔嘎查马肉深加工及马油护肤品生产加工厂项目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B3F95E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巴音乌兰苏木乌兰温都尔嘎查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E9EA6D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EB0F1E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依托腾克隆屠宰场，进行马肉屠宰，并新建仓储区800㎡，冷库200㎡，原料生产间800㎡，消毒间100㎡，实验室100㎡，化妆品生产车间，进行马肉深加工及马油护肤品生产加工。</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A5B09F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企业投资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58BC1C6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7025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B9AA7B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巴音乌兰苏木努和日乐嘎查孕马尿标准化采集基地</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11326F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巴音乌兰苏木努和日乐嘎查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5AFC2D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128220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发挥孕马尿与雌激素附加值高的优势，建设或改建孕马尿标准化采集基地。内容主要包括建设或改建孕马养殖区及采集马厩的基础设施、运动场和其他基础设备等。</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232DA6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企业投资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2B08D82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7E6D5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73A632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巴音乌兰苏木努和日乐嘎查乌拉特蒙古马马场道路硬化项目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E74378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巴音乌兰苏木努和日乐嘎查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2D32AA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180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55A965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投资180万元，实施3公里道路硬化工程、基础设施建设等。</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907DF6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1FA1184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35987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047E2E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巴音乌兰苏木乌兰格日乐嘎查酸马奶厂马奶酒车间成品库项目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57DE21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巴音乌兰苏木乌兰格日乐嘎查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F8B7CB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60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6B5B71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马奶产品外包装材料库、马奶产品成品库、马奶酒储存库、食品级不锈钢货架</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096B71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620B8C4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78206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CC0023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乌拉特中旗巴音乌兰苏木亚高原体育训练基地标准化田径场建设项目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D55EE6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巴音乌兰苏木乌兰格日乐嘎查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6A3B42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690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D65FCA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必要性和建设内容</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占地面积20000m，其中包括400m塑胶跑道1个</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8根跑道</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、人造草坪足球场1个、标准化铅球 场1个、标准化跳远场地2个。主要建设内容包括建设 400m 标准塑胶田径跑道1处，半径36.5m，直道段长为84.39m'，8条跑道，道宽为1.22m</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人造草坪足球场1个7140m</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铅球场1个102.21m</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跳远场2个144m。</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3EAFE3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5FE4070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01C7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706612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努和日乐嘎查风干肉项目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249E36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努和日乐嘎查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34CC9D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125</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92D59C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项目规划占地面积1500㎡，其中建筑面积690㎡。加工车间150㎡，冷库车间150㎡，烘干车间100㎡，晾晒车间200㎡，管理用房50㎡和130㎡产品成品展示间等附属设施（约75万元）；加工车间配备分割机、清洗机、切片机、烘干机、包装机、晾晒架等设备（约50万元），年可加工风干羊肉、风干“水晶”羊背、风干羊骨、风干牛肉等100余吨肉食品。</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FA8470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2F0D33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2024年</w:t>
            </w:r>
          </w:p>
        </w:tc>
      </w:tr>
      <w:tr w14:paraId="1DC2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3AF03F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努和日乐嘎查草原牧歌·马背风情之旅项目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CDEE43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努和日乐嘎查庭院经济</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BED587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64D47A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设立专门的围场用于马匹</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驯化</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，配备专业的驯马师，根据马匹的不同特性和状态制定个性化</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的驯化</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方案。规划多条不同风景和难度等级的骑乘线路，满足不同游客的需求。建设一个挤马奶体验区，向游客讲解马奶的相关知识，包括马奶的营养价值、传统的加工方法等。与当地牧户合作，挑选具有代表性的牧户家庭作为游客体验的接待点。打造观赏日落最佳点。在草原地势较高且视野开阔的地方搭建观景平台，配备舒适的座椅和遮阳设施。设立指示牌，引导游客在最佳时间前往观赏日落。将马匹</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驯</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化、骑乘体验、挤马奶、入牧户、观赏日落等项目有机整合到旅游线路中，形成丰富多样的旅游产品。</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2A16D6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A66C95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4740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4CAB5B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阿日胡都格嘎查马具加工项目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585DDD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阿日胡都格嘎查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406C49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25</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2D8382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从民族手工艺品制作及销售入手，组织本地牧民开展传统乌拉特马具量化生产及销售部分订制产品，带动牧民就业、创业，增收。</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C38CBD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7DC9CD2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22B52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F06026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巴音敖包嘎查游牧奶牛养殖项目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CDFAA7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巴音敖包嘎查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3086B6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375035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新建一处2000平米标准化养殖牛舍，内含挤奶厅、干草棚、青储窖、消毒间、储物室、鲜奶储存库、奶是加工间、更衣室、观摩通道、办公间等功能室。购买50头奶牛。整合草场10000亩用于三季散养，按照50头奶牛的规模建设。</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90CD34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183202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43691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39BF54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巴音图克木嘎查乡村振兴农业机械化与智能化提升项目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3DB5CC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巴音图克木嘎查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1E5B92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125</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1A93BA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依托乡村振兴衔接资金125万建设，购买265装卸机1台（87万元）、玉米秸秆下棒一体机（打捆）1台（15万元）、智能洗羊设备2套（23万元）。</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2BBD8C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5EB4552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2024年</w:t>
            </w:r>
          </w:p>
        </w:tc>
      </w:tr>
      <w:tr w14:paraId="764F2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91173F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巴音图克木嘎查德系西门塔尔牛养殖及奶制品加工项目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A91C45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巴音图克木嘎查庭院经济：</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245E49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600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C5B373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投资400万元，购买德系西门塔尔母牛200头，利用现有4处圈舍共9000平米，投资200万元，配套新建1处挤奶车间，挤奶设备等，奶制品加工设备，1处牛奶加工作坊、1处草棚。</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1A8A1A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701DC71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38200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FABE9F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呼鲁斯嘎查草原味韵体验坊项目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408772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呼鲁斯嘎查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71A326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80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CAC72E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建设民族特色手工食品作坊，打造游牧文化特色餐饮服务，深入挖掘民族传统美食文化，精心研发各类传统菜品，如烤全羊、手把肉、奶茶等。对半成品加工与销售，设立旗体验店，按照民族特色和品牌形象进行店铺装修，并在体验店内设置丰富的产品展示区，将民族特色手工食品、餐饮成品以及半成品进行陈列展示，定期在体验店内举办各类体验活动，让消费者参与进去。</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666230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E50FCF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23498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679B77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伊和宝力格嘎查特色奶业加工项目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04E591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伊和宝力格嘎查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3226BC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30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E6BBC2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以“挤马奶户+马奶加工小作坊（包括鲜奶，酸奶、奶皮，奶酪等）+酸马奶加工车间”为发展模式奶制品加工，提高本地马奶产品附加值，促进牧民增收。</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1E6F5E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13BE666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2A3F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5CC9CC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乌兰格日乐嘎查亚高原训练基地</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2FA60B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乌兰格日乐嘎查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257091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E61AD7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利用建设的亚高原体育训练基地运动员宿舍楼，招引兀鲁兀惕体育有限公司，积极引进全国各类体育运动员开展训练。</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D35C03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招商引资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6011E3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5A214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2531EE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乌兰温都尔综合发展与草原旅游振兴项目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D52578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乌兰温都尔嘎查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76EE8A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25</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283271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发展草原旅游。（二水库——腾克隆餐住宿——蓝色哈达牧家乐——撒拉风景区——包福深牧家乐——李羊官深度游</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发展草原旅游业。利用地理和人文优势，建设牧家游，并争取项目扶持，积极完善蒙古包等基础设施。现嘎查经营牧家游有5户。同时将嘎查牧民加工的手工奶食品纳入牧家游当中销售。</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7817E4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1080E58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4A9DE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57CB85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新尼乌素嘎查养殖升级拓展项目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1C42BC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新尼乌素嘎查庭院经济</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8B93FC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60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72EED7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对现有3户棚圈进行评估和修缮，使其符合标准化养殖的基本要求，包括加固结构、完善通风和排水系统等。依据 2024 年发展至 10 户的目标规划，新建圈舍以满足新增养殖需求。对当地羊品种和奶牛品种改良，与专业的畜牧科研机构或企业合作，引进优良的品种，定期对羊和奶牛进行体检和疫病防治，保证奶牛的健康和产奶质量。建立稳定的饲料供应渠道，根据养殖的牛羊数量和品种需求，采购优质的饲料原料。保障饲料供应。建设饲料储存设施，确保饲料的储存安全和质量。组织养殖户参加专业的养殖技术培训，应用现代化的养殖技术和设备，提高养殖效率和质量。</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519860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ED0B0E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139A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6F3A65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新尼乌素嘎查游牧文化特色旅游体验拓展项目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B23E6D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新尼乌素嘎查庭院经济</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0C0CD1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60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F91C6A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对现有 3 处蒙古包进行改造与利用，使其具备接待游客的功能。在展示体验区内，展示蒙古族的传统服饰、工艺品以及与马相关的文化展品。</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驯化</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 xml:space="preserve"> 30 - 40 匹适合骑乘的马匹，设计多条不同难度和风景的骑乘旅游线路，确保游客的骑乘安全。开展挤马奶体验活动，建设专门的挤马奶区域，由专业的牧户指导游客进行挤马奶操作，让游客了解马奶的生产过程和营养价值。组织入牧户体验活动，与当地牧户合作，游客可以参与牧户的日常生活，如放牧、制作传统美食等，同时配备相关基础设施。</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C41EA9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739E7AB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40A3D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F7E03C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巴音宝日嘎查畜牧特色养殖与产业升级综合发展</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18DD96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巴音宝日嘎查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6D5675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607CBC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一是提高畜牧特色养殖发展规模化标准化程度。通过马产业规范化经营、精细化管理、科学化养殖，采取“党支部+领办合作社+牧户”组织模式，带动嘎查牧户实现增收。同时，深入学习先进经验，探索多种合作模式，实现科学化规模化养殖，逐步带动周边畜牧养殖业的快速发展，惠及更多的牧民群众。二是在苏木大力创建枣骝马品牌认定工作的同时，通过发展壮大阿润策格专业合作社和致富带头人的形式，促进马产业发展。以嘎查支部或合作社为载体，鼓励牧民进行畜产品初加工和深加工，分类销售牛奶、羊奶、马奶等奶制品，积极探索畜牧业增收渠道，不断延伸产业链，逐步打造奶制品优势加工企业。三是加大畜牧业基础设施建设，积极争取上级棚圈、饲草库、机井建设等项目，提高基础设施保障能力，持续推进畜牧业基础设施提档升级，继续巩固抵御自然灾害能力。</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181D00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5AD94B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15EC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5E7F3B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乌兰额日格嘎查优质牧场集约化养殖与托管代养服务项目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43048B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乌兰额日格嘎查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8781BB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80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11F9B9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依托嘎查7万多亩优质牧场（其中集体草场4处），计划投资80万元实施养殖场饲料棚项目，建设2处1000平米标准化棚圈，达到集约化、规模化和标准化生产，年最大养殖2000余只羊。采取“党支部＋合作社＋牧户”的经营模式，可将牧民的牛羊进行托管，充分利用辖区拥有的优质饲草料、科学饲喂配方和防疫技术，依托合作社现代化设施和规模化养殖，向牧民们提供育肥牛托管代养服务，牧民提供牛，合作社负责‘托管代养’，不仅壮大了集体经济，还能解决当地牧民的育肥、销售难题。</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4E85FC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6A8A1BF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3C888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2194A1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乌力吉图和尔嘎查光伏牧场项目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38CE91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乌力吉图和尔</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F57BAD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50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30A587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开展“光伏牧场”项目建设，实现“一地两用、上光下养、牧光互补”的绿色牧场，形成经济效益与环境效益双赢的绿色畜牧产业。同时，发挥好“光伏+”特色旅游优势，与北京有关公司合作，吸引游客发展牧场体验旅游项目，打造精品牧家乐5户，提供光伏科普参观、奶制品制作、马匹骑乘体验等多样服务，带动经济收入增长。</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F769F8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29E845C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0C5B2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B1FC51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巴音查干嘎查柠条种植项目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7168F4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巴音查干嘎查</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F164D6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9FCC41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于巴音查干嘎查种植柠条18020亩，通过专业技术员全程跟踪服务，严把种苗、栽植等各项技术关，力争“栽一棵活一棵，植一片绿一片”，逐步改良草牧场，达到改善生态环境、提升农牧民收入的目标。</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D9AB00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6F449D8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22D54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6FFFC3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巴音查干嘎查骏驰文化民俗体验项目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133543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巴音查干嘎查庭院经济</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D58ADC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81691F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线上搭建马文化宣传平台，定期发布关于马的历史、文化、品种、饲养知识、马术技巧等文章、图片和视频内容。建设马术表演场地，配备专业的马术表演设备，如障碍栏、跳杆、圆形场地等，定期举办马术表演活动。确定每月固定的几日开展打马印活动，提前做好宣传和准备工作。发起成立马文化协会，邀请马术爱好者、马文化研究者、相关企业和机构等加入协会。制定会员招募计划和会员管理制度，明确会员的权利和义务。设立赛马等活动的奖金，根据比赛的规模和级别，确定不同的奖金金额。为参与马文化活动的观众和会员设置礼品，如马文化纪念品、马术用品、特色食品等。</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1D787C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3D7305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15E1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41437F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巴音宝日嘎查马奶收集站</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74523E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05B013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98</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D63BC8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马奶收集站（210平米）、设备间及化验室（46平米），配套给排水、电力等基础设施</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5FB49A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农科局、企业自筹</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771E824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70E92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E30969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乌拉特马舍饲养殖出栏基地</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900DD0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587C17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230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8B3B15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占地面积1万平方米，包括490平方米马棚、270平方米机具库、180平方米饲料库、360平方米草棚等，并配齐了排水、热力、消防、电力等基础设施。</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F1ECD9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农科局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08BC677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3D6A4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0D2DB0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“乌拉特马”保种育种基地</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F3534E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3A86BD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127</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9EB64A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分别在乌力吉图嘎查、巴音宝日嘎查建设两处乌拉特马保种育种基地，占地面积2123平方米</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3DF8BE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农科局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072816A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783A3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D83484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“乌拉特马”马场</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2E32CD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31BAB2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348</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48974B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建设一处“乌拉特马”马场，总占地7000亩，其中基础设施占地10000平方米（15亩）。该马场具有保种育种、马奶收集、乌拉特马研究、观光旅游功能。</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5857D1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农科局、乡村振兴局、企业投资、牧民自筹</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0610C4C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4623C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8483B9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乌拉特中旗阿润策格乳业专业合作社建设项目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7AC497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96B7BA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566</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470D6E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新建一处720㎡马厩及2000㎡活动圈，新建一处新建小型粪污处理厂（含纳米膜设备）及配套设施，新建一处400㎡消加快食品生产许可证办理检疫监控室，新建一处600㎡青储窖</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3B0687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组织部、乡村振兴、牧民自筹</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E853BB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2023年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32C3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F577A5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乌拉特马命名项目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A84920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C78287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128</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DDDB2B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乌拉特马是全世界较为古老的马种之一，原产蒙古高原。乌拉特马体格不大，但是身躯粗壮，四肢坚实有力，体质粗糙结实，头大额宽，胸廓深长，腿短，关节牢固，肌腱发达。乌拉特马是较为典型的品种，能体现出乌拉特马的各个特征，是纯种的乌拉特马。由企业培育20匹乌拉特马，进行乌拉特马保种育种，以此开展畜禽遗传采集和评定，申报乌拉特马命名工作。</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3E6736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农科局、企业自筹</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6553417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2023年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53692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621B4A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购马项目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03690F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3485BA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125</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95417A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购买70匹带驹母马（纯品种乌拉特马每对1.5万元，共计105万元）、8匹种公马（纯品种枣骝种马每匹2.5万元，共计20万元）</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CF4880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组织部、乡村振兴局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75B2ABA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2023年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2024年</w:t>
            </w:r>
          </w:p>
        </w:tc>
      </w:tr>
      <w:tr w14:paraId="75308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D28A06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酸马奶标准化生产加工车间</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3465EC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01F177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2070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16A644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在巴音乌兰苏木呼和陶勒盖集镇建成了一处酸马奶标准化生产加工车间，通过智能化的马奶深加工设备，发展壮大酸马奶特色产业</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3D6AF1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民委、农科局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7FEAE82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2018年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2021年</w:t>
            </w:r>
          </w:p>
        </w:tc>
      </w:tr>
      <w:tr w14:paraId="20C9D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A3E0DC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巴音乌兰苏木孕马尿提取分离结合雌激素项目</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37CBA6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F32240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5E988A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新建孕马尿厂房1座框架结构，建筑面积为1000平方米-1600平方米等相关附属设施</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1EEB99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企业投资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4447EF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2023年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21106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816BCC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马文化广场</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62CA5B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849D7A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678</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AB7AB2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占地11.6万平米，建设赛马场、打靶场、摔跤场和69顶蒙古包群，配套给排水设备</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60996B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政府投资</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BC7AEB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24</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年-20</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26</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年</w:t>
            </w:r>
          </w:p>
        </w:tc>
      </w:tr>
      <w:tr w14:paraId="0453D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098FD9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特色产品展厅</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22D2CC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2EDC24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160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0F70CC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建筑面积298㎡，总投资：160万元。展厅内设置展示大厅、卫生间和配套办公室。展示大厅配备接待台、展示柜台、展架、品尝休息区等，展厅内设置两处电子屏幕，播放宣传乌拉特草原乌拉特马文化和马奶产品</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37B6FA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农科局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47DF6FB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2026年</w:t>
            </w:r>
          </w:p>
        </w:tc>
      </w:tr>
      <w:tr w14:paraId="11C63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6F1BEFE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马文化博物馆</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2FAB187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10CF3A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800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E32C1F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在呼和陶勒盖集镇建设一处马文化博物馆，建筑面积600平方米，包括室内展品、展柜、互动区、乌拉特马雕塑等相关设施</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0B81A6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文体局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0EF6B02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67C1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2C85B1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驯马师培训学校</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182167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F841D7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500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F359D7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培训学校包括马房工作区、户外探索区、马匹护理区、专业马术骑乘技能区，马术知识、马术礼仪、手工创作区等，可以通过培训取得国家二级运动员证书</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2ACA87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文体局、教育局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265F503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2024年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23E29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D7F554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赛马场标准化提升改造工程</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3BF400C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325556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79F5E31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对现有赛马场进行提升改造</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1816D56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文体局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325AB829">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2024年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r w14:paraId="720ED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trPr>
        <w:tc>
          <w:tcPr>
            <w:tcW w:w="675"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0EE5EC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马医院</w:t>
            </w:r>
          </w:p>
        </w:tc>
        <w:tc>
          <w:tcPr>
            <w:tcW w:w="53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0B57A8B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巴音乌兰苏木</w:t>
            </w:r>
          </w:p>
        </w:tc>
        <w:tc>
          <w:tcPr>
            <w:tcW w:w="463"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1C769D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100</w:t>
            </w:r>
          </w:p>
        </w:tc>
        <w:tc>
          <w:tcPr>
            <w:tcW w:w="2298"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4319919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在现有的动物医院基础上进行扩建，整合马兽医资源，开展马匹改良育种，作为运动马匹集治疗、理疗、护理及康复训练为一体的多功能型马医院</w:t>
            </w:r>
          </w:p>
        </w:tc>
        <w:tc>
          <w:tcPr>
            <w:tcW w:w="472" w:type="pct"/>
            <w:tcBorders>
              <w:top w:val="single" w:color="000000" w:sz="4" w:space="0"/>
              <w:left w:val="single" w:color="000000" w:sz="4" w:space="0"/>
              <w:bottom w:val="single" w:color="000000" w:sz="4" w:space="0"/>
              <w:right w:val="single" w:color="000000" w:sz="4" w:space="0"/>
            </w:tcBorders>
            <w:shd w:val="clear" w:color="4874CB" w:fill="auto"/>
            <w:vAlign w:val="center"/>
          </w:tcPr>
          <w:p w14:paraId="5BEC624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农科局</w:t>
            </w:r>
          </w:p>
        </w:tc>
        <w:tc>
          <w:tcPr>
            <w:tcW w:w="551" w:type="pct"/>
            <w:tcBorders>
              <w:top w:val="single" w:color="000000" w:sz="4" w:space="0"/>
              <w:left w:val="single" w:color="000000" w:sz="4" w:space="0"/>
              <w:bottom w:val="single" w:color="000000" w:sz="4" w:space="0"/>
              <w:right w:val="single" w:color="000000" w:sz="4" w:space="0"/>
            </w:tcBorders>
            <w:shd w:val="clear" w:color="4874CB" w:fill="FFFFFF" w:themeFill="background1"/>
            <w:vAlign w:val="center"/>
          </w:tcPr>
          <w:p w14:paraId="7AF254B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b w:val="0"/>
                <w:bCs w:val="0"/>
                <w:i w:val="0"/>
                <w:iCs w:val="0"/>
                <w:color w:val="000000" w:themeColor="text1"/>
                <w:sz w:val="24"/>
                <w:szCs w:val="24"/>
                <w:u w:val="none"/>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2024年</w:t>
            </w:r>
            <w:r>
              <w:rPr>
                <w:rFonts w:hint="eastAsia" w:ascii="方正仿宋_GBK" w:hAnsi="方正仿宋_GBK" w:cs="方正仿宋_GBK"/>
                <w:b w:val="0"/>
                <w:bCs w:val="0"/>
                <w:i w:val="0"/>
                <w:iCs w:val="0"/>
                <w:color w:val="000000" w:themeColor="text1"/>
                <w:kern w:val="0"/>
                <w:sz w:val="24"/>
                <w:szCs w:val="24"/>
                <w:u w:val="none"/>
                <w:lang w:val="en-US" w:eastAsia="zh-CN" w:bidi="ar"/>
                <w14:textFill>
                  <w14:solidFill>
                    <w14:schemeClr w14:val="tx1"/>
                  </w14:solidFill>
                </w14:textFill>
              </w:rPr>
              <w:t>—</w:t>
            </w:r>
            <w:r>
              <w:rPr>
                <w:rFonts w:hint="eastAsia" w:ascii="方正仿宋_GBK" w:hAnsi="方正仿宋_GBK" w:eastAsia="方正仿宋_GBK" w:cs="方正仿宋_GBK"/>
                <w:b w:val="0"/>
                <w:bCs w:val="0"/>
                <w:i w:val="0"/>
                <w:iCs w:val="0"/>
                <w:color w:val="000000" w:themeColor="text1"/>
                <w:kern w:val="0"/>
                <w:sz w:val="24"/>
                <w:szCs w:val="24"/>
                <w:u w:val="none"/>
                <w:lang w:val="en-US" w:eastAsia="zh-CN" w:bidi="ar"/>
                <w14:textFill>
                  <w14:solidFill>
                    <w14:schemeClr w14:val="tx1"/>
                  </w14:solidFill>
                </w14:textFill>
              </w:rPr>
              <w:t>2025年</w:t>
            </w:r>
          </w:p>
        </w:tc>
      </w:tr>
    </w:tbl>
    <w:p w14:paraId="25E239EC">
      <w:pPr>
        <w:pStyle w:val="8"/>
        <w:rPr>
          <w:rFonts w:hint="eastAsia" w:ascii="Times New Roman" w:hAnsi="Times New Roman" w:eastAsia="方正仿宋_GBK" w:cs="方正仿宋_GBK"/>
          <w:color w:val="000000" w:themeColor="text1"/>
          <w:sz w:val="32"/>
          <w:szCs w:val="32"/>
          <w:highlight w:val="none"/>
          <w14:textFill>
            <w14:solidFill>
              <w14:schemeClr w14:val="tx1"/>
            </w14:solidFill>
          </w14:textFill>
        </w:rPr>
      </w:pPr>
    </w:p>
    <w:sectPr>
      <w:headerReference r:id="rId10" w:type="default"/>
      <w:footerReference r:id="rId11" w:type="default"/>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1" w:fontKey="{568612F0-33EB-43BB-9CB3-F3423F581210}"/>
  </w:font>
  <w:font w:name="方正黑体_GBK">
    <w:panose1 w:val="02000000000000000000"/>
    <w:charset w:val="86"/>
    <w:family w:val="auto"/>
    <w:pitch w:val="default"/>
    <w:sig w:usb0="A00002BF" w:usb1="38CF7CFA" w:usb2="00082016" w:usb3="00000000" w:csb0="00040001" w:csb1="00000000"/>
    <w:embedRegular r:id="rId2" w:fontKey="{766D95AA-7C64-470B-A089-98C2C308A37A}"/>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auto"/>
    <w:pitch w:val="default"/>
    <w:sig w:usb0="A00002BF" w:usb1="38CF7CFA" w:usb2="00082016" w:usb3="00000000" w:csb0="00040001" w:csb1="00000000"/>
    <w:embedRegular r:id="rId3" w:fontKey="{E55E6A0B-922F-475A-BD60-36F948DCEE1A}"/>
  </w:font>
  <w:font w:name="WPSEMBED5">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800002BF" w:usb1="38CF7CFA" w:usb2="00000016" w:usb3="00000000" w:csb0="00040000" w:csb1="00000000"/>
    <w:embedRegular r:id="rId4" w:fontKey="{B5D801EB-DA6F-4E50-BC30-5F2C41EDA7A1}"/>
  </w:font>
  <w:font w:name="仿宋">
    <w:panose1 w:val="02010609060101010101"/>
    <w:charset w:val="86"/>
    <w:family w:val="auto"/>
    <w:pitch w:val="default"/>
    <w:sig w:usb0="800002BF" w:usb1="38CF7CFA" w:usb2="00000016" w:usb3="00000000" w:csb0="00040001" w:csb1="00000000"/>
    <w:embedRegular r:id="rId5" w:fontKey="{AD36077F-2635-410B-97FE-61E9971008BD}"/>
  </w:font>
  <w:font w:name="WPSEMBED8">
    <w:panose1 w:val="02000000000000000000"/>
    <w:charset w:val="86"/>
    <w:family w:val="auto"/>
    <w:pitch w:val="default"/>
    <w:sig w:usb0="A00002BF" w:usb1="38CF7CFA" w:usb2="00082016" w:usb3="00000000" w:csb0="00040001" w:csb1="00000000"/>
  </w:font>
  <w:font w:name="WPSEMBED6">
    <w:panose1 w:val="02000000000000000000"/>
    <w:charset w:val="86"/>
    <w:family w:val="auto"/>
    <w:pitch w:val="default"/>
    <w:sig w:usb0="A00002BF" w:usb1="38CF7CFA" w:usb2="00082016" w:usb3="00000000" w:csb0="00040001" w:csb1="00000000"/>
  </w:font>
  <w:font w:name="WPSEMBED7">
    <w:panose1 w:val="02000000000000000000"/>
    <w:charset w:val="86"/>
    <w:family w:val="auto"/>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D9E4F">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F7B9D">
                          <w:pPr>
                            <w:pStyle w:val="15"/>
                          </w:pP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- 40 -</w:t>
                          </w:r>
                          <w:r>
                            <w:rPr>
                              <w:rFonts w:hint="eastAsia" w:ascii="方正仿宋_GBK" w:hAnsi="方正仿宋_GBK" w:eastAsia="方正仿宋_GBK" w:cs="方正仿宋_GBK"/>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67EF7B9D">
                    <w:pPr>
                      <w:pStyle w:val="15"/>
                    </w:pP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- 40 -</w:t>
                    </w:r>
                    <w:r>
                      <w:rPr>
                        <w:rFonts w:hint="eastAsia" w:ascii="方正仿宋_GBK" w:hAnsi="方正仿宋_GBK" w:eastAsia="方正仿宋_GBK" w:cs="方正仿宋_GBK"/>
                        <w:sz w:val="28"/>
                        <w:szCs w:val="4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67409">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E7EA4">
                          <w:pPr>
                            <w:pStyle w:val="15"/>
                            <w:rPr>
                              <w:rFonts w:hint="eastAsia" w:ascii="方正仿宋_GBK" w:hAnsi="方正仿宋_GBK" w:eastAsia="方正仿宋_GBK" w:cs="方正仿宋_GBK"/>
                              <w:sz w:val="28"/>
                              <w:szCs w:val="44"/>
                            </w:rPr>
                          </w:pPr>
                          <w:r>
                            <w:rPr>
                              <w:rFonts w:hint="eastAsia" w:ascii="方正仿宋_GBK" w:hAnsi="方正仿宋_GBK" w:eastAsia="方正仿宋_GBK" w:cs="方正仿宋_GBK"/>
                              <w:sz w:val="28"/>
                              <w:szCs w:val="44"/>
                            </w:rPr>
                            <w:t xml:space="preserve">— </w:t>
                          </w: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- 1 -</w:t>
                          </w:r>
                          <w:r>
                            <w:rPr>
                              <w:rFonts w:hint="eastAsia" w:ascii="方正仿宋_GBK" w:hAnsi="方正仿宋_GBK" w:eastAsia="方正仿宋_GBK" w:cs="方正仿宋_GBK"/>
                              <w:sz w:val="28"/>
                              <w:szCs w:val="44"/>
                            </w:rPr>
                            <w:fldChar w:fldCharType="end"/>
                          </w:r>
                          <w:r>
                            <w:rPr>
                              <w:rFonts w:hint="eastAsia" w:ascii="方正仿宋_GBK" w:hAnsi="方正仿宋_GBK" w:eastAsia="方正仿宋_GBK" w:cs="方正仿宋_GBK"/>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E1E7EA4">
                    <w:pPr>
                      <w:pStyle w:val="15"/>
                      <w:rPr>
                        <w:rFonts w:hint="eastAsia" w:ascii="方正仿宋_GBK" w:hAnsi="方正仿宋_GBK" w:eastAsia="方正仿宋_GBK" w:cs="方正仿宋_GBK"/>
                        <w:sz w:val="28"/>
                        <w:szCs w:val="44"/>
                      </w:rPr>
                    </w:pPr>
                    <w:r>
                      <w:rPr>
                        <w:rFonts w:hint="eastAsia" w:ascii="方正仿宋_GBK" w:hAnsi="方正仿宋_GBK" w:eastAsia="方正仿宋_GBK" w:cs="方正仿宋_GBK"/>
                        <w:sz w:val="28"/>
                        <w:szCs w:val="44"/>
                      </w:rPr>
                      <w:t xml:space="preserve">— </w:t>
                    </w: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- 1 -</w:t>
                    </w:r>
                    <w:r>
                      <w:rPr>
                        <w:rFonts w:hint="eastAsia" w:ascii="方正仿宋_GBK" w:hAnsi="方正仿宋_GBK" w:eastAsia="方正仿宋_GBK" w:cs="方正仿宋_GBK"/>
                        <w:sz w:val="28"/>
                        <w:szCs w:val="44"/>
                      </w:rPr>
                      <w:fldChar w:fldCharType="end"/>
                    </w:r>
                    <w:r>
                      <w:rPr>
                        <w:rFonts w:hint="eastAsia" w:ascii="方正仿宋_GBK" w:hAnsi="方正仿宋_GBK" w:eastAsia="方正仿宋_GBK" w:cs="方正仿宋_GBK"/>
                        <w:sz w:val="28"/>
                        <w:szCs w:val="4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6A782">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34632">
                          <w:pPr>
                            <w:pStyle w:val="15"/>
                            <w:rPr>
                              <w:rFonts w:hint="eastAsia" w:ascii="方正仿宋_GBK" w:hAnsi="方正仿宋_GBK" w:eastAsia="方正仿宋_GBK" w:cs="方正仿宋_GBK"/>
                              <w:sz w:val="28"/>
                              <w:szCs w:val="44"/>
                            </w:rPr>
                          </w:pPr>
                          <w:r>
                            <w:rPr>
                              <w:rFonts w:hint="eastAsia" w:ascii="方正仿宋_GBK" w:hAnsi="方正仿宋_GBK" w:eastAsia="方正仿宋_GBK" w:cs="方正仿宋_GBK"/>
                              <w:sz w:val="28"/>
                              <w:szCs w:val="44"/>
                            </w:rPr>
                            <w:t xml:space="preserve">— </w:t>
                          </w: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- 21 -</w:t>
                          </w:r>
                          <w:r>
                            <w:rPr>
                              <w:rFonts w:hint="eastAsia" w:ascii="方正仿宋_GBK" w:hAnsi="方正仿宋_GBK" w:eastAsia="方正仿宋_GBK" w:cs="方正仿宋_GBK"/>
                              <w:sz w:val="28"/>
                              <w:szCs w:val="44"/>
                            </w:rPr>
                            <w:fldChar w:fldCharType="end"/>
                          </w:r>
                          <w:r>
                            <w:rPr>
                              <w:rFonts w:hint="eastAsia" w:ascii="方正仿宋_GBK" w:hAnsi="方正仿宋_GBK" w:eastAsia="方正仿宋_GBK" w:cs="方正仿宋_GBK"/>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6634632">
                    <w:pPr>
                      <w:pStyle w:val="15"/>
                      <w:rPr>
                        <w:rFonts w:hint="eastAsia" w:ascii="方正仿宋_GBK" w:hAnsi="方正仿宋_GBK" w:eastAsia="方正仿宋_GBK" w:cs="方正仿宋_GBK"/>
                        <w:sz w:val="28"/>
                        <w:szCs w:val="44"/>
                      </w:rPr>
                    </w:pPr>
                    <w:r>
                      <w:rPr>
                        <w:rFonts w:hint="eastAsia" w:ascii="方正仿宋_GBK" w:hAnsi="方正仿宋_GBK" w:eastAsia="方正仿宋_GBK" w:cs="方正仿宋_GBK"/>
                        <w:sz w:val="28"/>
                        <w:szCs w:val="44"/>
                      </w:rPr>
                      <w:t xml:space="preserve">— </w:t>
                    </w:r>
                    <w:r>
                      <w:rPr>
                        <w:rFonts w:hint="eastAsia" w:ascii="方正仿宋_GBK" w:hAnsi="方正仿宋_GBK" w:eastAsia="方正仿宋_GBK" w:cs="方正仿宋_GBK"/>
                        <w:sz w:val="28"/>
                        <w:szCs w:val="44"/>
                      </w:rPr>
                      <w:fldChar w:fldCharType="begin"/>
                    </w:r>
                    <w:r>
                      <w:rPr>
                        <w:rFonts w:hint="eastAsia" w:ascii="方正仿宋_GBK" w:hAnsi="方正仿宋_GBK" w:eastAsia="方正仿宋_GBK" w:cs="方正仿宋_GBK"/>
                        <w:sz w:val="28"/>
                        <w:szCs w:val="44"/>
                      </w:rPr>
                      <w:instrText xml:space="preserve"> PAGE  \* MERGEFORMAT </w:instrText>
                    </w:r>
                    <w:r>
                      <w:rPr>
                        <w:rFonts w:hint="eastAsia" w:ascii="方正仿宋_GBK" w:hAnsi="方正仿宋_GBK" w:eastAsia="方正仿宋_GBK" w:cs="方正仿宋_GBK"/>
                        <w:sz w:val="28"/>
                        <w:szCs w:val="44"/>
                      </w:rPr>
                      <w:fldChar w:fldCharType="separate"/>
                    </w:r>
                    <w:r>
                      <w:rPr>
                        <w:rFonts w:hint="eastAsia" w:ascii="方正仿宋_GBK" w:hAnsi="方正仿宋_GBK" w:eastAsia="方正仿宋_GBK" w:cs="方正仿宋_GBK"/>
                        <w:sz w:val="28"/>
                        <w:szCs w:val="44"/>
                      </w:rPr>
                      <w:t>- 21 -</w:t>
                    </w:r>
                    <w:r>
                      <w:rPr>
                        <w:rFonts w:hint="eastAsia" w:ascii="方正仿宋_GBK" w:hAnsi="方正仿宋_GBK" w:eastAsia="方正仿宋_GBK" w:cs="方正仿宋_GBK"/>
                        <w:sz w:val="28"/>
                        <w:szCs w:val="44"/>
                      </w:rPr>
                      <w:fldChar w:fldCharType="end"/>
                    </w:r>
                    <w:r>
                      <w:rPr>
                        <w:rFonts w:hint="eastAsia" w:ascii="方正仿宋_GBK" w:hAnsi="方正仿宋_GBK" w:eastAsia="方正仿宋_GBK" w:cs="方正仿宋_GBK"/>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5890A">
    <w:pPr>
      <w:pStyle w:val="16"/>
      <w:rPr>
        <w:rFonts w:hint="eastAsia" w:ascii="方正仿宋_GBK" w:hAnsi="方正仿宋_GBK" w:eastAsia="方正仿宋_GBK"/>
        <w:sz w:val="21"/>
        <w:szCs w:val="21"/>
      </w:rPr>
    </w:pPr>
  </w:p>
  <w:p w14:paraId="7E0EE8EC">
    <w:pPr>
      <w:pStyle w:val="16"/>
      <w:rPr>
        <w:rFonts w:hint="eastAsia" w:eastAsia="方正仿宋_GBK"/>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AB54F">
    <w:pPr>
      <w:pStyle w:val="16"/>
      <w:rPr>
        <w:rFonts w:hint="eastAsia" w:ascii="方正仿宋_GBK" w:hAnsi="方正仿宋_GBK" w:eastAsia="方正仿宋_GBK"/>
        <w:sz w:val="21"/>
        <w:szCs w:val="21"/>
      </w:rPr>
    </w:pPr>
  </w:p>
  <w:p w14:paraId="20D1EFBF">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2949B">
    <w:pPr>
      <w:pStyle w:val="16"/>
      <w:rPr>
        <w:rFonts w:hint="eastAsia" w:ascii="方正仿宋_GBK" w:hAnsi="方正仿宋_GBK" w:eastAsia="方正仿宋_GBK"/>
        <w:sz w:val="21"/>
        <w:szCs w:val="21"/>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C9B3F">
    <w:pPr>
      <w:pStyle w:val="16"/>
      <w:rPr>
        <w:rFonts w:hint="eastAsia" w:ascii="方正仿宋_GBK" w:hAnsi="方正仿宋_GBK" w:eastAsia="方正仿宋_GBK"/>
        <w:sz w:val="21"/>
        <w:szCs w:val="21"/>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0B56F"/>
    <w:multiLevelType w:val="singleLevel"/>
    <w:tmpl w:val="A1F0B56F"/>
    <w:lvl w:ilvl="0" w:tentative="0">
      <w:start w:val="1"/>
      <w:numFmt w:val="decimal"/>
      <w:suff w:val="space"/>
      <w:lvlText w:val="%1."/>
      <w:lvlJc w:val="left"/>
    </w:lvl>
  </w:abstractNum>
  <w:abstractNum w:abstractNumId="1">
    <w:nsid w:val="00000005"/>
    <w:multiLevelType w:val="multilevel"/>
    <w:tmpl w:val="00000005"/>
    <w:lvl w:ilvl="0" w:tentative="0">
      <w:start w:val="1"/>
      <w:numFmt w:val="decimal"/>
      <w:lvlText w:val="%1"/>
      <w:lvlJc w:val="left"/>
      <w:pPr>
        <w:tabs>
          <w:tab w:val="left" w:pos="2708"/>
        </w:tabs>
        <w:ind w:left="2708" w:hanging="432"/>
      </w:pPr>
    </w:lvl>
    <w:lvl w:ilvl="1" w:tentative="0">
      <w:start w:val="1"/>
      <w:numFmt w:val="decimal"/>
      <w:lvlText w:val="%1.%2"/>
      <w:lvlJc w:val="left"/>
      <w:pPr>
        <w:tabs>
          <w:tab w:val="left" w:pos="2852"/>
        </w:tabs>
        <w:ind w:left="2852" w:hanging="576"/>
      </w:pPr>
    </w:lvl>
    <w:lvl w:ilvl="2" w:tentative="0">
      <w:start w:val="1"/>
      <w:numFmt w:val="decimal"/>
      <w:lvlText w:val="%1.%2.%3"/>
      <w:lvlJc w:val="left"/>
      <w:pPr>
        <w:tabs>
          <w:tab w:val="left" w:pos="3356"/>
        </w:tabs>
        <w:ind w:left="3356" w:hanging="720"/>
      </w:pPr>
      <w:rPr>
        <w:rFonts w:ascii="Times New Roman" w:hAnsi="Times New Roman" w:eastAsia="Times New Roman" w:cs="Times New Roman"/>
      </w:rPr>
    </w:lvl>
    <w:lvl w:ilvl="3" w:tentative="0">
      <w:start w:val="1"/>
      <w:numFmt w:val="decimal"/>
      <w:pStyle w:val="7"/>
      <w:lvlText w:val="%1.%2.%3.%4"/>
      <w:lvlJc w:val="left"/>
      <w:pPr>
        <w:tabs>
          <w:tab w:val="left" w:pos="3140"/>
        </w:tabs>
        <w:ind w:left="3140" w:hanging="864"/>
      </w:pPr>
    </w:lvl>
    <w:lvl w:ilvl="4" w:tentative="0">
      <w:start w:val="1"/>
      <w:numFmt w:val="decimal"/>
      <w:lvlText w:val="%1.%2.%3.%4.%5"/>
      <w:lvlJc w:val="left"/>
      <w:pPr>
        <w:tabs>
          <w:tab w:val="left" w:pos="3284"/>
        </w:tabs>
        <w:ind w:left="3284" w:hanging="1008"/>
      </w:pPr>
    </w:lvl>
    <w:lvl w:ilvl="5" w:tentative="0">
      <w:start w:val="1"/>
      <w:numFmt w:val="decimal"/>
      <w:lvlText w:val="%1.%2.%3.%4.%5.%6"/>
      <w:lvlJc w:val="left"/>
      <w:pPr>
        <w:tabs>
          <w:tab w:val="left" w:pos="3428"/>
        </w:tabs>
        <w:ind w:left="3428" w:hanging="1152"/>
      </w:pPr>
    </w:lvl>
    <w:lvl w:ilvl="6" w:tentative="0">
      <w:start w:val="1"/>
      <w:numFmt w:val="decimal"/>
      <w:lvlText w:val="%1.%2.%3.%4.%5.%6.%7"/>
      <w:lvlJc w:val="left"/>
      <w:pPr>
        <w:tabs>
          <w:tab w:val="left" w:pos="3572"/>
        </w:tabs>
        <w:ind w:left="3572" w:hanging="1296"/>
      </w:pPr>
    </w:lvl>
    <w:lvl w:ilvl="7" w:tentative="0">
      <w:start w:val="1"/>
      <w:numFmt w:val="decimal"/>
      <w:lvlText w:val="%1.%2.%3.%4.%5.%6.%7.%8"/>
      <w:lvlJc w:val="left"/>
      <w:pPr>
        <w:tabs>
          <w:tab w:val="left" w:pos="3716"/>
        </w:tabs>
        <w:ind w:left="3716" w:hanging="1440"/>
      </w:pPr>
    </w:lvl>
    <w:lvl w:ilvl="8" w:tentative="0">
      <w:start w:val="1"/>
      <w:numFmt w:val="decimal"/>
      <w:lvlText w:val="%1.%2.%3.%4.%5.%6.%7.%8.%9"/>
      <w:lvlJc w:val="left"/>
      <w:pPr>
        <w:tabs>
          <w:tab w:val="left" w:pos="3860"/>
        </w:tabs>
        <w:ind w:left="3860" w:hanging="1584"/>
      </w:pPr>
    </w:lvl>
  </w:abstractNum>
  <w:abstractNum w:abstractNumId="2">
    <w:nsid w:val="50B9B1E5"/>
    <w:multiLevelType w:val="singleLevel"/>
    <w:tmpl w:val="50B9B1E5"/>
    <w:lvl w:ilvl="0" w:tentative="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TrueTypeFonts/>
  <w:saveSubset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2F6E7580"/>
    <w:rsid w:val="00015777"/>
    <w:rsid w:val="00023484"/>
    <w:rsid w:val="00041064"/>
    <w:rsid w:val="000551CA"/>
    <w:rsid w:val="00076230"/>
    <w:rsid w:val="00095839"/>
    <w:rsid w:val="00096FAD"/>
    <w:rsid w:val="000A080A"/>
    <w:rsid w:val="000B2A2D"/>
    <w:rsid w:val="000D0C81"/>
    <w:rsid w:val="000D60C5"/>
    <w:rsid w:val="000D7354"/>
    <w:rsid w:val="000E5BF5"/>
    <w:rsid w:val="001214FF"/>
    <w:rsid w:val="00125252"/>
    <w:rsid w:val="00130916"/>
    <w:rsid w:val="0015090B"/>
    <w:rsid w:val="00157114"/>
    <w:rsid w:val="0015775A"/>
    <w:rsid w:val="00173325"/>
    <w:rsid w:val="001815CD"/>
    <w:rsid w:val="0018345B"/>
    <w:rsid w:val="001926C1"/>
    <w:rsid w:val="001951B5"/>
    <w:rsid w:val="00196D69"/>
    <w:rsid w:val="001A0466"/>
    <w:rsid w:val="001B064C"/>
    <w:rsid w:val="001B19AB"/>
    <w:rsid w:val="001B6527"/>
    <w:rsid w:val="001C6D81"/>
    <w:rsid w:val="001D2946"/>
    <w:rsid w:val="001D3C3B"/>
    <w:rsid w:val="001D4206"/>
    <w:rsid w:val="001D5403"/>
    <w:rsid w:val="001D6EA4"/>
    <w:rsid w:val="001E0ACD"/>
    <w:rsid w:val="001F1143"/>
    <w:rsid w:val="001F2D00"/>
    <w:rsid w:val="001F3916"/>
    <w:rsid w:val="00200636"/>
    <w:rsid w:val="002029A1"/>
    <w:rsid w:val="00204550"/>
    <w:rsid w:val="00223078"/>
    <w:rsid w:val="002235CA"/>
    <w:rsid w:val="00231226"/>
    <w:rsid w:val="00247B5B"/>
    <w:rsid w:val="00250538"/>
    <w:rsid w:val="00252501"/>
    <w:rsid w:val="002564EC"/>
    <w:rsid w:val="00263322"/>
    <w:rsid w:val="00271E12"/>
    <w:rsid w:val="00274B4F"/>
    <w:rsid w:val="0028137B"/>
    <w:rsid w:val="0029002A"/>
    <w:rsid w:val="002C6EC9"/>
    <w:rsid w:val="00303329"/>
    <w:rsid w:val="003038AF"/>
    <w:rsid w:val="00303B2E"/>
    <w:rsid w:val="003116DF"/>
    <w:rsid w:val="003203C3"/>
    <w:rsid w:val="003305EF"/>
    <w:rsid w:val="00330C6A"/>
    <w:rsid w:val="00331481"/>
    <w:rsid w:val="00333A2A"/>
    <w:rsid w:val="00335AE2"/>
    <w:rsid w:val="00346BA1"/>
    <w:rsid w:val="00347A46"/>
    <w:rsid w:val="00364147"/>
    <w:rsid w:val="0036547F"/>
    <w:rsid w:val="00381B6A"/>
    <w:rsid w:val="00385F0B"/>
    <w:rsid w:val="00394F52"/>
    <w:rsid w:val="003C29E5"/>
    <w:rsid w:val="003C6B10"/>
    <w:rsid w:val="003E53DB"/>
    <w:rsid w:val="003F61C3"/>
    <w:rsid w:val="00412651"/>
    <w:rsid w:val="00422E60"/>
    <w:rsid w:val="00431AA6"/>
    <w:rsid w:val="00440B4C"/>
    <w:rsid w:val="00444F19"/>
    <w:rsid w:val="0044526C"/>
    <w:rsid w:val="0045048B"/>
    <w:rsid w:val="0046285B"/>
    <w:rsid w:val="00464F2A"/>
    <w:rsid w:val="004667B5"/>
    <w:rsid w:val="004712EA"/>
    <w:rsid w:val="0047469E"/>
    <w:rsid w:val="0048167C"/>
    <w:rsid w:val="004A513C"/>
    <w:rsid w:val="004B2AB9"/>
    <w:rsid w:val="004D6899"/>
    <w:rsid w:val="004F49DB"/>
    <w:rsid w:val="00523D85"/>
    <w:rsid w:val="005248F2"/>
    <w:rsid w:val="0053387A"/>
    <w:rsid w:val="00536177"/>
    <w:rsid w:val="00536580"/>
    <w:rsid w:val="00542797"/>
    <w:rsid w:val="005524DF"/>
    <w:rsid w:val="00552596"/>
    <w:rsid w:val="00571F2D"/>
    <w:rsid w:val="0057233F"/>
    <w:rsid w:val="00574977"/>
    <w:rsid w:val="00574C1C"/>
    <w:rsid w:val="005836E2"/>
    <w:rsid w:val="005B1AD8"/>
    <w:rsid w:val="005D09A9"/>
    <w:rsid w:val="005D656E"/>
    <w:rsid w:val="005E6C92"/>
    <w:rsid w:val="005F12BB"/>
    <w:rsid w:val="00600513"/>
    <w:rsid w:val="006159DF"/>
    <w:rsid w:val="00620DE3"/>
    <w:rsid w:val="00650873"/>
    <w:rsid w:val="00652F7D"/>
    <w:rsid w:val="0065300F"/>
    <w:rsid w:val="006541DA"/>
    <w:rsid w:val="006551F8"/>
    <w:rsid w:val="00673DA2"/>
    <w:rsid w:val="006833B6"/>
    <w:rsid w:val="006A1EF0"/>
    <w:rsid w:val="006B2F0D"/>
    <w:rsid w:val="006C174C"/>
    <w:rsid w:val="006C4630"/>
    <w:rsid w:val="006D7CE6"/>
    <w:rsid w:val="006E42EB"/>
    <w:rsid w:val="006F2015"/>
    <w:rsid w:val="00705A99"/>
    <w:rsid w:val="00706347"/>
    <w:rsid w:val="00707131"/>
    <w:rsid w:val="00710EB5"/>
    <w:rsid w:val="007202B9"/>
    <w:rsid w:val="00736A8B"/>
    <w:rsid w:val="00736AFF"/>
    <w:rsid w:val="00743714"/>
    <w:rsid w:val="00760D82"/>
    <w:rsid w:val="007753FD"/>
    <w:rsid w:val="00784B4A"/>
    <w:rsid w:val="0078567A"/>
    <w:rsid w:val="007A1DA8"/>
    <w:rsid w:val="007A65D8"/>
    <w:rsid w:val="007A7BE7"/>
    <w:rsid w:val="007B49A8"/>
    <w:rsid w:val="007B5269"/>
    <w:rsid w:val="007E4F23"/>
    <w:rsid w:val="007E54A2"/>
    <w:rsid w:val="007F0C38"/>
    <w:rsid w:val="008013B4"/>
    <w:rsid w:val="0080604A"/>
    <w:rsid w:val="00814BF7"/>
    <w:rsid w:val="00814DB4"/>
    <w:rsid w:val="00816FD8"/>
    <w:rsid w:val="0082677B"/>
    <w:rsid w:val="00832614"/>
    <w:rsid w:val="008326A9"/>
    <w:rsid w:val="008376EA"/>
    <w:rsid w:val="008473B8"/>
    <w:rsid w:val="008677F8"/>
    <w:rsid w:val="00876584"/>
    <w:rsid w:val="00877568"/>
    <w:rsid w:val="00887532"/>
    <w:rsid w:val="00887EFF"/>
    <w:rsid w:val="0089213C"/>
    <w:rsid w:val="008A5BD3"/>
    <w:rsid w:val="008B2B5F"/>
    <w:rsid w:val="008B375B"/>
    <w:rsid w:val="008D52D8"/>
    <w:rsid w:val="008D59B9"/>
    <w:rsid w:val="008F1149"/>
    <w:rsid w:val="008F456A"/>
    <w:rsid w:val="008F7C96"/>
    <w:rsid w:val="0090569B"/>
    <w:rsid w:val="00905BCB"/>
    <w:rsid w:val="00912607"/>
    <w:rsid w:val="0095184D"/>
    <w:rsid w:val="00974870"/>
    <w:rsid w:val="00975962"/>
    <w:rsid w:val="0097767A"/>
    <w:rsid w:val="00990287"/>
    <w:rsid w:val="009B6458"/>
    <w:rsid w:val="009B7770"/>
    <w:rsid w:val="009C7563"/>
    <w:rsid w:val="009D0D92"/>
    <w:rsid w:val="009D2C78"/>
    <w:rsid w:val="009E39C4"/>
    <w:rsid w:val="00A00241"/>
    <w:rsid w:val="00A15288"/>
    <w:rsid w:val="00A25CCA"/>
    <w:rsid w:val="00A3295D"/>
    <w:rsid w:val="00A341DF"/>
    <w:rsid w:val="00A43234"/>
    <w:rsid w:val="00A45A3A"/>
    <w:rsid w:val="00A507BC"/>
    <w:rsid w:val="00A525CD"/>
    <w:rsid w:val="00A5601A"/>
    <w:rsid w:val="00A57CFA"/>
    <w:rsid w:val="00A74DBE"/>
    <w:rsid w:val="00A75F9C"/>
    <w:rsid w:val="00A805DB"/>
    <w:rsid w:val="00A842FD"/>
    <w:rsid w:val="00A84AB0"/>
    <w:rsid w:val="00A97FAC"/>
    <w:rsid w:val="00AA3DEF"/>
    <w:rsid w:val="00AB238F"/>
    <w:rsid w:val="00AB39F4"/>
    <w:rsid w:val="00AB510E"/>
    <w:rsid w:val="00AB6E70"/>
    <w:rsid w:val="00AB7A64"/>
    <w:rsid w:val="00AC3225"/>
    <w:rsid w:val="00AE30C8"/>
    <w:rsid w:val="00AE7B25"/>
    <w:rsid w:val="00AF5CFF"/>
    <w:rsid w:val="00B023EC"/>
    <w:rsid w:val="00B14B57"/>
    <w:rsid w:val="00B1644D"/>
    <w:rsid w:val="00B23178"/>
    <w:rsid w:val="00B25EB5"/>
    <w:rsid w:val="00B40B94"/>
    <w:rsid w:val="00B45EA2"/>
    <w:rsid w:val="00B554A3"/>
    <w:rsid w:val="00B55611"/>
    <w:rsid w:val="00B66B69"/>
    <w:rsid w:val="00B67D8A"/>
    <w:rsid w:val="00B7247A"/>
    <w:rsid w:val="00B86E65"/>
    <w:rsid w:val="00B90344"/>
    <w:rsid w:val="00B94B04"/>
    <w:rsid w:val="00BA5308"/>
    <w:rsid w:val="00BA7F9D"/>
    <w:rsid w:val="00BB324A"/>
    <w:rsid w:val="00BB4417"/>
    <w:rsid w:val="00BC1DF9"/>
    <w:rsid w:val="00BC36FA"/>
    <w:rsid w:val="00BD5081"/>
    <w:rsid w:val="00BE1AC3"/>
    <w:rsid w:val="00BF4B47"/>
    <w:rsid w:val="00C10C1F"/>
    <w:rsid w:val="00C22ADD"/>
    <w:rsid w:val="00C24178"/>
    <w:rsid w:val="00C324B2"/>
    <w:rsid w:val="00C34955"/>
    <w:rsid w:val="00C35101"/>
    <w:rsid w:val="00C36964"/>
    <w:rsid w:val="00C4051C"/>
    <w:rsid w:val="00C50535"/>
    <w:rsid w:val="00C63201"/>
    <w:rsid w:val="00C721F3"/>
    <w:rsid w:val="00CA273D"/>
    <w:rsid w:val="00CB2F31"/>
    <w:rsid w:val="00CC2B53"/>
    <w:rsid w:val="00CD222D"/>
    <w:rsid w:val="00CD39B9"/>
    <w:rsid w:val="00CE00D0"/>
    <w:rsid w:val="00CE1FF9"/>
    <w:rsid w:val="00CE476A"/>
    <w:rsid w:val="00CE6EA0"/>
    <w:rsid w:val="00CF1DBB"/>
    <w:rsid w:val="00D04CA4"/>
    <w:rsid w:val="00D128E5"/>
    <w:rsid w:val="00D147A1"/>
    <w:rsid w:val="00D16F16"/>
    <w:rsid w:val="00D22B95"/>
    <w:rsid w:val="00D23FBE"/>
    <w:rsid w:val="00D36A2E"/>
    <w:rsid w:val="00D4007B"/>
    <w:rsid w:val="00D408D1"/>
    <w:rsid w:val="00D52076"/>
    <w:rsid w:val="00D55402"/>
    <w:rsid w:val="00D565CA"/>
    <w:rsid w:val="00D63C68"/>
    <w:rsid w:val="00D74632"/>
    <w:rsid w:val="00D962C9"/>
    <w:rsid w:val="00D968DE"/>
    <w:rsid w:val="00DA3EA5"/>
    <w:rsid w:val="00DA70B0"/>
    <w:rsid w:val="00DB6DC2"/>
    <w:rsid w:val="00DB7FDB"/>
    <w:rsid w:val="00DC5899"/>
    <w:rsid w:val="00DD2911"/>
    <w:rsid w:val="00E01E82"/>
    <w:rsid w:val="00E02C41"/>
    <w:rsid w:val="00E309DD"/>
    <w:rsid w:val="00E37D15"/>
    <w:rsid w:val="00E4369E"/>
    <w:rsid w:val="00E45B39"/>
    <w:rsid w:val="00E56CE4"/>
    <w:rsid w:val="00E606B1"/>
    <w:rsid w:val="00E60F51"/>
    <w:rsid w:val="00E839EA"/>
    <w:rsid w:val="00E87626"/>
    <w:rsid w:val="00EC1AF9"/>
    <w:rsid w:val="00EC4204"/>
    <w:rsid w:val="00EE35DA"/>
    <w:rsid w:val="00EF0C33"/>
    <w:rsid w:val="00EF6591"/>
    <w:rsid w:val="00EF7AC0"/>
    <w:rsid w:val="00F2673E"/>
    <w:rsid w:val="00F317BE"/>
    <w:rsid w:val="00F35F33"/>
    <w:rsid w:val="00F40C67"/>
    <w:rsid w:val="00F42A0B"/>
    <w:rsid w:val="00F67495"/>
    <w:rsid w:val="00F67508"/>
    <w:rsid w:val="00F776C7"/>
    <w:rsid w:val="00F869B0"/>
    <w:rsid w:val="00FA564F"/>
    <w:rsid w:val="00FB2771"/>
    <w:rsid w:val="00FB2AC2"/>
    <w:rsid w:val="00FC4726"/>
    <w:rsid w:val="00FC53D5"/>
    <w:rsid w:val="00FD4749"/>
    <w:rsid w:val="00FE4DEE"/>
    <w:rsid w:val="010A478A"/>
    <w:rsid w:val="01232ED2"/>
    <w:rsid w:val="01264FE9"/>
    <w:rsid w:val="013C690E"/>
    <w:rsid w:val="014C4DA3"/>
    <w:rsid w:val="015D0D5E"/>
    <w:rsid w:val="015E3B2D"/>
    <w:rsid w:val="017D4F5C"/>
    <w:rsid w:val="0194674A"/>
    <w:rsid w:val="019E4ED3"/>
    <w:rsid w:val="01A3569F"/>
    <w:rsid w:val="01BD35AB"/>
    <w:rsid w:val="01E274B5"/>
    <w:rsid w:val="020967F0"/>
    <w:rsid w:val="02526249"/>
    <w:rsid w:val="02C10E79"/>
    <w:rsid w:val="02C91277"/>
    <w:rsid w:val="02D432A2"/>
    <w:rsid w:val="036A05D8"/>
    <w:rsid w:val="037F7757"/>
    <w:rsid w:val="039667A9"/>
    <w:rsid w:val="03BE614D"/>
    <w:rsid w:val="03F87613"/>
    <w:rsid w:val="03FB4A9A"/>
    <w:rsid w:val="041B6CAE"/>
    <w:rsid w:val="042D3749"/>
    <w:rsid w:val="049D5915"/>
    <w:rsid w:val="04D05CEB"/>
    <w:rsid w:val="04D1589C"/>
    <w:rsid w:val="05111A52"/>
    <w:rsid w:val="051B47FF"/>
    <w:rsid w:val="0571302A"/>
    <w:rsid w:val="05780A0D"/>
    <w:rsid w:val="05A76A4C"/>
    <w:rsid w:val="05B47983"/>
    <w:rsid w:val="05D250F6"/>
    <w:rsid w:val="05FE0636"/>
    <w:rsid w:val="06085010"/>
    <w:rsid w:val="067F4A0F"/>
    <w:rsid w:val="068706F6"/>
    <w:rsid w:val="06997F82"/>
    <w:rsid w:val="06A13DFD"/>
    <w:rsid w:val="06AE4B88"/>
    <w:rsid w:val="06B156A8"/>
    <w:rsid w:val="06DE2BA7"/>
    <w:rsid w:val="070E1C81"/>
    <w:rsid w:val="077F51EB"/>
    <w:rsid w:val="079052BE"/>
    <w:rsid w:val="07911761"/>
    <w:rsid w:val="07BB058C"/>
    <w:rsid w:val="07C37441"/>
    <w:rsid w:val="08017F69"/>
    <w:rsid w:val="08075794"/>
    <w:rsid w:val="082657EF"/>
    <w:rsid w:val="083D3697"/>
    <w:rsid w:val="08452D5D"/>
    <w:rsid w:val="08486C64"/>
    <w:rsid w:val="08687FE8"/>
    <w:rsid w:val="086F75C9"/>
    <w:rsid w:val="08B374B6"/>
    <w:rsid w:val="08B51480"/>
    <w:rsid w:val="08C74B52"/>
    <w:rsid w:val="08E049BC"/>
    <w:rsid w:val="08EB30F3"/>
    <w:rsid w:val="08FA1588"/>
    <w:rsid w:val="091C32AD"/>
    <w:rsid w:val="09273A00"/>
    <w:rsid w:val="09300B06"/>
    <w:rsid w:val="09491BC8"/>
    <w:rsid w:val="09502F56"/>
    <w:rsid w:val="096B7D90"/>
    <w:rsid w:val="096E162E"/>
    <w:rsid w:val="097C01EF"/>
    <w:rsid w:val="09BC4A90"/>
    <w:rsid w:val="09E61FD5"/>
    <w:rsid w:val="0A0B2694"/>
    <w:rsid w:val="0A155730"/>
    <w:rsid w:val="0A2543E3"/>
    <w:rsid w:val="0A65393A"/>
    <w:rsid w:val="0A99092D"/>
    <w:rsid w:val="0AA90B70"/>
    <w:rsid w:val="0ACC2AB1"/>
    <w:rsid w:val="0ADA29E4"/>
    <w:rsid w:val="0AE533B0"/>
    <w:rsid w:val="0B0662F6"/>
    <w:rsid w:val="0B095AB3"/>
    <w:rsid w:val="0B143B8D"/>
    <w:rsid w:val="0B527D60"/>
    <w:rsid w:val="0BB712B6"/>
    <w:rsid w:val="0BBC467A"/>
    <w:rsid w:val="0BC30B8B"/>
    <w:rsid w:val="0BE107DE"/>
    <w:rsid w:val="0C1F363C"/>
    <w:rsid w:val="0C6C201A"/>
    <w:rsid w:val="0C7C3CBC"/>
    <w:rsid w:val="0CBD4DA7"/>
    <w:rsid w:val="0CE52C36"/>
    <w:rsid w:val="0CE95576"/>
    <w:rsid w:val="0CF85DDF"/>
    <w:rsid w:val="0CF92A3E"/>
    <w:rsid w:val="0CFF0F1B"/>
    <w:rsid w:val="0D417345"/>
    <w:rsid w:val="0DA11FD2"/>
    <w:rsid w:val="0DA6583B"/>
    <w:rsid w:val="0DA65DB6"/>
    <w:rsid w:val="0DAA28D1"/>
    <w:rsid w:val="0E0A401C"/>
    <w:rsid w:val="0E3746E5"/>
    <w:rsid w:val="0E3C1CFB"/>
    <w:rsid w:val="0E3D599F"/>
    <w:rsid w:val="0E417312"/>
    <w:rsid w:val="0E43752E"/>
    <w:rsid w:val="0E9438E5"/>
    <w:rsid w:val="0EA7186A"/>
    <w:rsid w:val="0EB47F2A"/>
    <w:rsid w:val="0EB764A8"/>
    <w:rsid w:val="0EE3661B"/>
    <w:rsid w:val="0F490B74"/>
    <w:rsid w:val="0F6E05DA"/>
    <w:rsid w:val="0F735BF1"/>
    <w:rsid w:val="0FC4644C"/>
    <w:rsid w:val="0FE35A61"/>
    <w:rsid w:val="102A5BB6"/>
    <w:rsid w:val="10473351"/>
    <w:rsid w:val="10487E27"/>
    <w:rsid w:val="10602484"/>
    <w:rsid w:val="10703EDE"/>
    <w:rsid w:val="107D71A6"/>
    <w:rsid w:val="108C66A5"/>
    <w:rsid w:val="10CC55B8"/>
    <w:rsid w:val="10D97CD5"/>
    <w:rsid w:val="10FF1D02"/>
    <w:rsid w:val="11030202"/>
    <w:rsid w:val="1146404D"/>
    <w:rsid w:val="11691059"/>
    <w:rsid w:val="11895257"/>
    <w:rsid w:val="11965BC6"/>
    <w:rsid w:val="11A77DD3"/>
    <w:rsid w:val="11BF6ECB"/>
    <w:rsid w:val="11DB2B2B"/>
    <w:rsid w:val="11DD55A3"/>
    <w:rsid w:val="12130C68"/>
    <w:rsid w:val="127557DC"/>
    <w:rsid w:val="128D756C"/>
    <w:rsid w:val="12C66037"/>
    <w:rsid w:val="12DD6110"/>
    <w:rsid w:val="132C6ADB"/>
    <w:rsid w:val="13781A27"/>
    <w:rsid w:val="13F81095"/>
    <w:rsid w:val="1444190A"/>
    <w:rsid w:val="14445CCF"/>
    <w:rsid w:val="144B0EEA"/>
    <w:rsid w:val="146D1091"/>
    <w:rsid w:val="14700951"/>
    <w:rsid w:val="14731246"/>
    <w:rsid w:val="14B44D5D"/>
    <w:rsid w:val="14F83400"/>
    <w:rsid w:val="151632A6"/>
    <w:rsid w:val="154D29D4"/>
    <w:rsid w:val="15877D00"/>
    <w:rsid w:val="15932B49"/>
    <w:rsid w:val="15A66514"/>
    <w:rsid w:val="15D16B42"/>
    <w:rsid w:val="16264708"/>
    <w:rsid w:val="166075E8"/>
    <w:rsid w:val="1667472B"/>
    <w:rsid w:val="169166B8"/>
    <w:rsid w:val="16A11295"/>
    <w:rsid w:val="16B94831"/>
    <w:rsid w:val="16E11692"/>
    <w:rsid w:val="16E15B36"/>
    <w:rsid w:val="170A4468"/>
    <w:rsid w:val="176D4E54"/>
    <w:rsid w:val="178423A3"/>
    <w:rsid w:val="17AE59FC"/>
    <w:rsid w:val="17AF79E2"/>
    <w:rsid w:val="17E7717C"/>
    <w:rsid w:val="17FD51E2"/>
    <w:rsid w:val="17FE5A6A"/>
    <w:rsid w:val="182757CA"/>
    <w:rsid w:val="18384D94"/>
    <w:rsid w:val="187D53EA"/>
    <w:rsid w:val="18896025"/>
    <w:rsid w:val="18C179CD"/>
    <w:rsid w:val="18E906AF"/>
    <w:rsid w:val="190440CD"/>
    <w:rsid w:val="190D2C12"/>
    <w:rsid w:val="192B4E46"/>
    <w:rsid w:val="19353F17"/>
    <w:rsid w:val="193A152D"/>
    <w:rsid w:val="19687E48"/>
    <w:rsid w:val="196C5B8A"/>
    <w:rsid w:val="198D7236"/>
    <w:rsid w:val="19976227"/>
    <w:rsid w:val="19AF7825"/>
    <w:rsid w:val="19C77265"/>
    <w:rsid w:val="19C86B39"/>
    <w:rsid w:val="19E35721"/>
    <w:rsid w:val="19E82D37"/>
    <w:rsid w:val="1A847E44"/>
    <w:rsid w:val="1AD42284"/>
    <w:rsid w:val="1AED4AA9"/>
    <w:rsid w:val="1B2B7F3A"/>
    <w:rsid w:val="1B466C13"/>
    <w:rsid w:val="1B506DE6"/>
    <w:rsid w:val="1B8B14BF"/>
    <w:rsid w:val="1BA24AAA"/>
    <w:rsid w:val="1BBA63B4"/>
    <w:rsid w:val="1BBB216B"/>
    <w:rsid w:val="1C073948"/>
    <w:rsid w:val="1C307688"/>
    <w:rsid w:val="1C351E13"/>
    <w:rsid w:val="1C542906"/>
    <w:rsid w:val="1C543059"/>
    <w:rsid w:val="1C6E7E6B"/>
    <w:rsid w:val="1C730FDE"/>
    <w:rsid w:val="1CC25AC1"/>
    <w:rsid w:val="1CD53A47"/>
    <w:rsid w:val="1CDA2E0B"/>
    <w:rsid w:val="1CE819CC"/>
    <w:rsid w:val="1CFF6D16"/>
    <w:rsid w:val="1D156539"/>
    <w:rsid w:val="1D2D3883"/>
    <w:rsid w:val="1DE5415D"/>
    <w:rsid w:val="1DF84916"/>
    <w:rsid w:val="1E4D585F"/>
    <w:rsid w:val="1EA57449"/>
    <w:rsid w:val="1EDD6BE3"/>
    <w:rsid w:val="1EE1567C"/>
    <w:rsid w:val="1F0274EC"/>
    <w:rsid w:val="1F1D3483"/>
    <w:rsid w:val="1F422596"/>
    <w:rsid w:val="1F5A0233"/>
    <w:rsid w:val="1F9A4AD4"/>
    <w:rsid w:val="1F9C4929"/>
    <w:rsid w:val="1FA6791C"/>
    <w:rsid w:val="1FA97BF0"/>
    <w:rsid w:val="1FB43DE7"/>
    <w:rsid w:val="1FBA5176"/>
    <w:rsid w:val="1FCE047B"/>
    <w:rsid w:val="1FD61FB0"/>
    <w:rsid w:val="207556BB"/>
    <w:rsid w:val="2099122F"/>
    <w:rsid w:val="209D0D1F"/>
    <w:rsid w:val="20D14525"/>
    <w:rsid w:val="20EC75B1"/>
    <w:rsid w:val="20F31F64"/>
    <w:rsid w:val="20F85F56"/>
    <w:rsid w:val="212705E9"/>
    <w:rsid w:val="212E0A02"/>
    <w:rsid w:val="215F4227"/>
    <w:rsid w:val="2199723C"/>
    <w:rsid w:val="21B70F3A"/>
    <w:rsid w:val="21D50045"/>
    <w:rsid w:val="21D7200F"/>
    <w:rsid w:val="222F59A7"/>
    <w:rsid w:val="224A0A33"/>
    <w:rsid w:val="224C6559"/>
    <w:rsid w:val="226338A3"/>
    <w:rsid w:val="229972C4"/>
    <w:rsid w:val="229C4BB4"/>
    <w:rsid w:val="22C24A6D"/>
    <w:rsid w:val="22CE39CA"/>
    <w:rsid w:val="22FD5AA5"/>
    <w:rsid w:val="230C3F3A"/>
    <w:rsid w:val="231352C9"/>
    <w:rsid w:val="23151041"/>
    <w:rsid w:val="231C2D03"/>
    <w:rsid w:val="23303366"/>
    <w:rsid w:val="233E1464"/>
    <w:rsid w:val="233F60BE"/>
    <w:rsid w:val="23411E36"/>
    <w:rsid w:val="234C1906"/>
    <w:rsid w:val="23880F5A"/>
    <w:rsid w:val="239F4C6E"/>
    <w:rsid w:val="23A221A9"/>
    <w:rsid w:val="23A7249A"/>
    <w:rsid w:val="23A92664"/>
    <w:rsid w:val="23C91E2B"/>
    <w:rsid w:val="23DA23AF"/>
    <w:rsid w:val="23FE3883"/>
    <w:rsid w:val="2401386A"/>
    <w:rsid w:val="240E783E"/>
    <w:rsid w:val="241A2687"/>
    <w:rsid w:val="2425011E"/>
    <w:rsid w:val="24311EAA"/>
    <w:rsid w:val="24362564"/>
    <w:rsid w:val="2446522A"/>
    <w:rsid w:val="246E2A3D"/>
    <w:rsid w:val="247955FF"/>
    <w:rsid w:val="24981900"/>
    <w:rsid w:val="24C65EB9"/>
    <w:rsid w:val="24EC7B7F"/>
    <w:rsid w:val="24F37160"/>
    <w:rsid w:val="252F5CBE"/>
    <w:rsid w:val="25382DC5"/>
    <w:rsid w:val="254C7FE0"/>
    <w:rsid w:val="258129BE"/>
    <w:rsid w:val="25844348"/>
    <w:rsid w:val="25C12DBA"/>
    <w:rsid w:val="25DE5620"/>
    <w:rsid w:val="25EF3DCB"/>
    <w:rsid w:val="26226DA0"/>
    <w:rsid w:val="26245A22"/>
    <w:rsid w:val="262B2929"/>
    <w:rsid w:val="262E7A6A"/>
    <w:rsid w:val="26365CD0"/>
    <w:rsid w:val="26C31EAD"/>
    <w:rsid w:val="27207FB4"/>
    <w:rsid w:val="27295FB5"/>
    <w:rsid w:val="273D0B66"/>
    <w:rsid w:val="27541A0C"/>
    <w:rsid w:val="278A6B27"/>
    <w:rsid w:val="28620466"/>
    <w:rsid w:val="28694D40"/>
    <w:rsid w:val="28FD67FF"/>
    <w:rsid w:val="2916146A"/>
    <w:rsid w:val="29226266"/>
    <w:rsid w:val="29253EF7"/>
    <w:rsid w:val="29464CEE"/>
    <w:rsid w:val="29491A44"/>
    <w:rsid w:val="29A54DB7"/>
    <w:rsid w:val="29C54E43"/>
    <w:rsid w:val="29E654E5"/>
    <w:rsid w:val="2A247F9D"/>
    <w:rsid w:val="2A3E70CF"/>
    <w:rsid w:val="2A5C7555"/>
    <w:rsid w:val="2A682917"/>
    <w:rsid w:val="2AAE58D7"/>
    <w:rsid w:val="2AF53506"/>
    <w:rsid w:val="2B004385"/>
    <w:rsid w:val="2B0D44FC"/>
    <w:rsid w:val="2B5B239B"/>
    <w:rsid w:val="2B7B3A0B"/>
    <w:rsid w:val="2BFE3CB2"/>
    <w:rsid w:val="2C3F6AE8"/>
    <w:rsid w:val="2C6938F4"/>
    <w:rsid w:val="2CF06BD2"/>
    <w:rsid w:val="2CF27452"/>
    <w:rsid w:val="2D142369"/>
    <w:rsid w:val="2D2F75E7"/>
    <w:rsid w:val="2D3622E0"/>
    <w:rsid w:val="2D3F62BA"/>
    <w:rsid w:val="2D5E734A"/>
    <w:rsid w:val="2D866516"/>
    <w:rsid w:val="2D995E3E"/>
    <w:rsid w:val="2DAF2092"/>
    <w:rsid w:val="2DB4385A"/>
    <w:rsid w:val="2DC23B73"/>
    <w:rsid w:val="2DCD36C1"/>
    <w:rsid w:val="2DD357DE"/>
    <w:rsid w:val="2DEF248E"/>
    <w:rsid w:val="2E0A72C8"/>
    <w:rsid w:val="2E376E42"/>
    <w:rsid w:val="2E7064DE"/>
    <w:rsid w:val="2E7A09AB"/>
    <w:rsid w:val="2EC102CF"/>
    <w:rsid w:val="2EED2E72"/>
    <w:rsid w:val="2F1C72B3"/>
    <w:rsid w:val="2F511653"/>
    <w:rsid w:val="2F6E7580"/>
    <w:rsid w:val="2F7D2448"/>
    <w:rsid w:val="2FF16992"/>
    <w:rsid w:val="308415B4"/>
    <w:rsid w:val="30A26B67"/>
    <w:rsid w:val="30C9346B"/>
    <w:rsid w:val="30DF2C8E"/>
    <w:rsid w:val="30E36564"/>
    <w:rsid w:val="30F84BE1"/>
    <w:rsid w:val="310426F5"/>
    <w:rsid w:val="31083F93"/>
    <w:rsid w:val="310B3A83"/>
    <w:rsid w:val="311C359A"/>
    <w:rsid w:val="3140197F"/>
    <w:rsid w:val="319D5111"/>
    <w:rsid w:val="31A83080"/>
    <w:rsid w:val="31AB491E"/>
    <w:rsid w:val="31F95922"/>
    <w:rsid w:val="32146967"/>
    <w:rsid w:val="32170A33"/>
    <w:rsid w:val="323F180D"/>
    <w:rsid w:val="324A4996"/>
    <w:rsid w:val="326571C3"/>
    <w:rsid w:val="32747E9F"/>
    <w:rsid w:val="32911D66"/>
    <w:rsid w:val="32BC3287"/>
    <w:rsid w:val="32DD31FD"/>
    <w:rsid w:val="32E97DF4"/>
    <w:rsid w:val="331C221F"/>
    <w:rsid w:val="33602DC2"/>
    <w:rsid w:val="3364209D"/>
    <w:rsid w:val="337616F8"/>
    <w:rsid w:val="339449B1"/>
    <w:rsid w:val="33A26FE4"/>
    <w:rsid w:val="33B26D7A"/>
    <w:rsid w:val="33B65F28"/>
    <w:rsid w:val="33C10429"/>
    <w:rsid w:val="33C83A23"/>
    <w:rsid w:val="33ED121E"/>
    <w:rsid w:val="34015BA1"/>
    <w:rsid w:val="34232234"/>
    <w:rsid w:val="344021C2"/>
    <w:rsid w:val="3460797A"/>
    <w:rsid w:val="346E05B1"/>
    <w:rsid w:val="347656B7"/>
    <w:rsid w:val="348342CA"/>
    <w:rsid w:val="348778C5"/>
    <w:rsid w:val="34B85CD0"/>
    <w:rsid w:val="34B955A4"/>
    <w:rsid w:val="34FB1589"/>
    <w:rsid w:val="350552CF"/>
    <w:rsid w:val="352716A0"/>
    <w:rsid w:val="353E4427"/>
    <w:rsid w:val="35620545"/>
    <w:rsid w:val="35B44F21"/>
    <w:rsid w:val="35B53FBD"/>
    <w:rsid w:val="35BC70FA"/>
    <w:rsid w:val="35EA010B"/>
    <w:rsid w:val="35EF74CF"/>
    <w:rsid w:val="361E7DB5"/>
    <w:rsid w:val="36213401"/>
    <w:rsid w:val="363B53DF"/>
    <w:rsid w:val="363C7C83"/>
    <w:rsid w:val="366854D4"/>
    <w:rsid w:val="36EE59D9"/>
    <w:rsid w:val="36F308D9"/>
    <w:rsid w:val="36F909D9"/>
    <w:rsid w:val="36F90A7B"/>
    <w:rsid w:val="373E7E7C"/>
    <w:rsid w:val="374567D3"/>
    <w:rsid w:val="375717D0"/>
    <w:rsid w:val="377F0D27"/>
    <w:rsid w:val="37893954"/>
    <w:rsid w:val="378E4AC6"/>
    <w:rsid w:val="37C01537"/>
    <w:rsid w:val="381547FA"/>
    <w:rsid w:val="382B67B9"/>
    <w:rsid w:val="384F4255"/>
    <w:rsid w:val="385507AA"/>
    <w:rsid w:val="386046B4"/>
    <w:rsid w:val="3866626C"/>
    <w:rsid w:val="386D50ED"/>
    <w:rsid w:val="38812573"/>
    <w:rsid w:val="38834316"/>
    <w:rsid w:val="38CF55E0"/>
    <w:rsid w:val="38D65289"/>
    <w:rsid w:val="38F01AA4"/>
    <w:rsid w:val="38F66DC7"/>
    <w:rsid w:val="391360D8"/>
    <w:rsid w:val="39241B86"/>
    <w:rsid w:val="392751D2"/>
    <w:rsid w:val="394B7113"/>
    <w:rsid w:val="3962620A"/>
    <w:rsid w:val="396E2E01"/>
    <w:rsid w:val="39736B31"/>
    <w:rsid w:val="397D4DF2"/>
    <w:rsid w:val="39875C71"/>
    <w:rsid w:val="39EA2703"/>
    <w:rsid w:val="3A377697"/>
    <w:rsid w:val="3A6A181A"/>
    <w:rsid w:val="3AC1495A"/>
    <w:rsid w:val="3AE316E2"/>
    <w:rsid w:val="3B0A6B5A"/>
    <w:rsid w:val="3B196D9D"/>
    <w:rsid w:val="3B467908"/>
    <w:rsid w:val="3B555A62"/>
    <w:rsid w:val="3B570F63"/>
    <w:rsid w:val="3B7346FF"/>
    <w:rsid w:val="3B8F0229"/>
    <w:rsid w:val="3B903503"/>
    <w:rsid w:val="3C0F7260"/>
    <w:rsid w:val="3C271C52"/>
    <w:rsid w:val="3C296C3B"/>
    <w:rsid w:val="3C2B4FD9"/>
    <w:rsid w:val="3C430575"/>
    <w:rsid w:val="3C5502A8"/>
    <w:rsid w:val="3C552056"/>
    <w:rsid w:val="3C5A58BF"/>
    <w:rsid w:val="3CB939B5"/>
    <w:rsid w:val="3D034ED2"/>
    <w:rsid w:val="3D197A98"/>
    <w:rsid w:val="3D471C6B"/>
    <w:rsid w:val="3D5B4C0B"/>
    <w:rsid w:val="3D5E79B7"/>
    <w:rsid w:val="3D6469F5"/>
    <w:rsid w:val="3D672760"/>
    <w:rsid w:val="3D785FFC"/>
    <w:rsid w:val="3D8C7CFA"/>
    <w:rsid w:val="3DA74D33"/>
    <w:rsid w:val="3DB83232"/>
    <w:rsid w:val="3DCE0165"/>
    <w:rsid w:val="3DE334D3"/>
    <w:rsid w:val="3DF16F23"/>
    <w:rsid w:val="3DF37D79"/>
    <w:rsid w:val="3DFA5EE2"/>
    <w:rsid w:val="3E6B6B4E"/>
    <w:rsid w:val="3E7B2671"/>
    <w:rsid w:val="3E990920"/>
    <w:rsid w:val="3EAA142E"/>
    <w:rsid w:val="3ECC17DD"/>
    <w:rsid w:val="3EEC4EF4"/>
    <w:rsid w:val="3EF617FB"/>
    <w:rsid w:val="3F23468E"/>
    <w:rsid w:val="3F43088C"/>
    <w:rsid w:val="3F7F6AE6"/>
    <w:rsid w:val="3F995E46"/>
    <w:rsid w:val="3F9A222F"/>
    <w:rsid w:val="3FDB1988"/>
    <w:rsid w:val="3FEA5F19"/>
    <w:rsid w:val="401B6F93"/>
    <w:rsid w:val="402406BD"/>
    <w:rsid w:val="402B37FA"/>
    <w:rsid w:val="404B2046"/>
    <w:rsid w:val="4070745F"/>
    <w:rsid w:val="40A84193"/>
    <w:rsid w:val="40C81FC2"/>
    <w:rsid w:val="40E639CE"/>
    <w:rsid w:val="40ED5808"/>
    <w:rsid w:val="410B7187"/>
    <w:rsid w:val="41412BA9"/>
    <w:rsid w:val="414660A0"/>
    <w:rsid w:val="417F4CE2"/>
    <w:rsid w:val="41926952"/>
    <w:rsid w:val="41EB7C13"/>
    <w:rsid w:val="41F06FCC"/>
    <w:rsid w:val="421F2EEA"/>
    <w:rsid w:val="42381D17"/>
    <w:rsid w:val="42565461"/>
    <w:rsid w:val="42660F50"/>
    <w:rsid w:val="4286740D"/>
    <w:rsid w:val="42A72EE0"/>
    <w:rsid w:val="42D263AC"/>
    <w:rsid w:val="42E303BC"/>
    <w:rsid w:val="43002A20"/>
    <w:rsid w:val="4320214C"/>
    <w:rsid w:val="43252782"/>
    <w:rsid w:val="4350530C"/>
    <w:rsid w:val="436B0320"/>
    <w:rsid w:val="439E2535"/>
    <w:rsid w:val="43B363C9"/>
    <w:rsid w:val="43B835F7"/>
    <w:rsid w:val="43C81360"/>
    <w:rsid w:val="43CA157C"/>
    <w:rsid w:val="43F81C45"/>
    <w:rsid w:val="44113205"/>
    <w:rsid w:val="44231A85"/>
    <w:rsid w:val="44783773"/>
    <w:rsid w:val="449172EE"/>
    <w:rsid w:val="44C95D4D"/>
    <w:rsid w:val="44D22496"/>
    <w:rsid w:val="458614D2"/>
    <w:rsid w:val="45A2455E"/>
    <w:rsid w:val="45BC4EF4"/>
    <w:rsid w:val="45CE5353"/>
    <w:rsid w:val="45EF39DA"/>
    <w:rsid w:val="46034607"/>
    <w:rsid w:val="460C19D8"/>
    <w:rsid w:val="46717A8D"/>
    <w:rsid w:val="468477C0"/>
    <w:rsid w:val="469F45FA"/>
    <w:rsid w:val="46AE2A8F"/>
    <w:rsid w:val="46D52711"/>
    <w:rsid w:val="46E6047B"/>
    <w:rsid w:val="46F54B62"/>
    <w:rsid w:val="46FA2C0B"/>
    <w:rsid w:val="46FC7C9E"/>
    <w:rsid w:val="470F4311"/>
    <w:rsid w:val="47365564"/>
    <w:rsid w:val="47946129"/>
    <w:rsid w:val="480004B0"/>
    <w:rsid w:val="48040A52"/>
    <w:rsid w:val="481E59F2"/>
    <w:rsid w:val="4839282C"/>
    <w:rsid w:val="486E55D3"/>
    <w:rsid w:val="49290AF3"/>
    <w:rsid w:val="494B701E"/>
    <w:rsid w:val="497E377D"/>
    <w:rsid w:val="498E0956"/>
    <w:rsid w:val="49AD5280"/>
    <w:rsid w:val="49C03205"/>
    <w:rsid w:val="49D62A28"/>
    <w:rsid w:val="49FE77F1"/>
    <w:rsid w:val="4A08695A"/>
    <w:rsid w:val="4A204D30"/>
    <w:rsid w:val="4A3537EB"/>
    <w:rsid w:val="4AC22FAD"/>
    <w:rsid w:val="4AF41157"/>
    <w:rsid w:val="4B5300A9"/>
    <w:rsid w:val="4BA6339B"/>
    <w:rsid w:val="4BD27EC1"/>
    <w:rsid w:val="4BE86A43"/>
    <w:rsid w:val="4C235CCD"/>
    <w:rsid w:val="4C3B5F55"/>
    <w:rsid w:val="4C5C4207"/>
    <w:rsid w:val="4C793B3F"/>
    <w:rsid w:val="4C8E4C82"/>
    <w:rsid w:val="4CB93F3C"/>
    <w:rsid w:val="4D41465D"/>
    <w:rsid w:val="4D447DD6"/>
    <w:rsid w:val="4D4B54DB"/>
    <w:rsid w:val="4D6E0B97"/>
    <w:rsid w:val="4D74733E"/>
    <w:rsid w:val="4D8D78A2"/>
    <w:rsid w:val="4D8F5115"/>
    <w:rsid w:val="4DFE42FC"/>
    <w:rsid w:val="4E0561D7"/>
    <w:rsid w:val="4E175B6F"/>
    <w:rsid w:val="4E3E0B9C"/>
    <w:rsid w:val="4E514D0D"/>
    <w:rsid w:val="4E527AAF"/>
    <w:rsid w:val="4E6B4968"/>
    <w:rsid w:val="4E944C60"/>
    <w:rsid w:val="4EAA4484"/>
    <w:rsid w:val="4EB470B0"/>
    <w:rsid w:val="4EF474AD"/>
    <w:rsid w:val="4F4246BC"/>
    <w:rsid w:val="4F5543EF"/>
    <w:rsid w:val="4F580118"/>
    <w:rsid w:val="4F7505EE"/>
    <w:rsid w:val="4FA05C21"/>
    <w:rsid w:val="4FA9329B"/>
    <w:rsid w:val="4FDA2B47"/>
    <w:rsid w:val="4FDA42FE"/>
    <w:rsid w:val="4FE63299"/>
    <w:rsid w:val="4FEB08B0"/>
    <w:rsid w:val="4FFC486B"/>
    <w:rsid w:val="50146059"/>
    <w:rsid w:val="50395ABF"/>
    <w:rsid w:val="50591CBD"/>
    <w:rsid w:val="509B67A3"/>
    <w:rsid w:val="50D60DE5"/>
    <w:rsid w:val="50D94BAC"/>
    <w:rsid w:val="51383FC9"/>
    <w:rsid w:val="518F170F"/>
    <w:rsid w:val="51C25640"/>
    <w:rsid w:val="51EE28D9"/>
    <w:rsid w:val="5209326F"/>
    <w:rsid w:val="52291B63"/>
    <w:rsid w:val="526A635A"/>
    <w:rsid w:val="527C6137"/>
    <w:rsid w:val="52854FEC"/>
    <w:rsid w:val="52D10231"/>
    <w:rsid w:val="52DC2732"/>
    <w:rsid w:val="53185E60"/>
    <w:rsid w:val="5368753B"/>
    <w:rsid w:val="537C3385"/>
    <w:rsid w:val="538916F6"/>
    <w:rsid w:val="53A5346C"/>
    <w:rsid w:val="53D37FD9"/>
    <w:rsid w:val="541128AF"/>
    <w:rsid w:val="54181E8F"/>
    <w:rsid w:val="54436F0C"/>
    <w:rsid w:val="545F361A"/>
    <w:rsid w:val="546750F2"/>
    <w:rsid w:val="54992426"/>
    <w:rsid w:val="54C218AC"/>
    <w:rsid w:val="54D264E2"/>
    <w:rsid w:val="550D4B37"/>
    <w:rsid w:val="55256612"/>
    <w:rsid w:val="55366A71"/>
    <w:rsid w:val="55913CA7"/>
    <w:rsid w:val="56150435"/>
    <w:rsid w:val="563A433F"/>
    <w:rsid w:val="56617B1E"/>
    <w:rsid w:val="56C22E22"/>
    <w:rsid w:val="56D007FF"/>
    <w:rsid w:val="570566FB"/>
    <w:rsid w:val="570A5ABF"/>
    <w:rsid w:val="57154464"/>
    <w:rsid w:val="57437223"/>
    <w:rsid w:val="5792501F"/>
    <w:rsid w:val="57BC1AEE"/>
    <w:rsid w:val="57F8308E"/>
    <w:rsid w:val="57FB365A"/>
    <w:rsid w:val="5842572D"/>
    <w:rsid w:val="584E1E05"/>
    <w:rsid w:val="58CD4FF7"/>
    <w:rsid w:val="591C7D2C"/>
    <w:rsid w:val="592756B9"/>
    <w:rsid w:val="593C217C"/>
    <w:rsid w:val="597A2ED7"/>
    <w:rsid w:val="597E42AD"/>
    <w:rsid w:val="598A113A"/>
    <w:rsid w:val="598F49A2"/>
    <w:rsid w:val="59936587"/>
    <w:rsid w:val="599B1268"/>
    <w:rsid w:val="59AC10B0"/>
    <w:rsid w:val="59E22D24"/>
    <w:rsid w:val="59F362D1"/>
    <w:rsid w:val="5A160C1F"/>
    <w:rsid w:val="5A2D3B5D"/>
    <w:rsid w:val="5AC16DDD"/>
    <w:rsid w:val="5AEB4E62"/>
    <w:rsid w:val="5B392E17"/>
    <w:rsid w:val="5B5B0FE0"/>
    <w:rsid w:val="5B5F1393"/>
    <w:rsid w:val="5B6A2FD1"/>
    <w:rsid w:val="5B977B3E"/>
    <w:rsid w:val="5BB2283E"/>
    <w:rsid w:val="5BB406F0"/>
    <w:rsid w:val="5BCF72D8"/>
    <w:rsid w:val="5BF96B1A"/>
    <w:rsid w:val="5C725121"/>
    <w:rsid w:val="5CAD58A7"/>
    <w:rsid w:val="5CD95B82"/>
    <w:rsid w:val="5CE134A3"/>
    <w:rsid w:val="5CF76AE6"/>
    <w:rsid w:val="5D20178F"/>
    <w:rsid w:val="5D213B63"/>
    <w:rsid w:val="5D2A2A61"/>
    <w:rsid w:val="5D5B20AB"/>
    <w:rsid w:val="5D7E6588"/>
    <w:rsid w:val="5D8B722E"/>
    <w:rsid w:val="5DAD14E4"/>
    <w:rsid w:val="5E0E0541"/>
    <w:rsid w:val="5E190CDE"/>
    <w:rsid w:val="5E1E4546"/>
    <w:rsid w:val="5E48511F"/>
    <w:rsid w:val="5E954808"/>
    <w:rsid w:val="5E9D6FAA"/>
    <w:rsid w:val="5EA90E9A"/>
    <w:rsid w:val="5EB84053"/>
    <w:rsid w:val="5EC944B2"/>
    <w:rsid w:val="5ECB022A"/>
    <w:rsid w:val="5ECC69D0"/>
    <w:rsid w:val="5ECF75EF"/>
    <w:rsid w:val="5ED370DF"/>
    <w:rsid w:val="5EE671F7"/>
    <w:rsid w:val="5F4137F7"/>
    <w:rsid w:val="5F4955F3"/>
    <w:rsid w:val="5F4C7DD5"/>
    <w:rsid w:val="5F6E5059"/>
    <w:rsid w:val="5F776C24"/>
    <w:rsid w:val="5F7E063F"/>
    <w:rsid w:val="5FA65201"/>
    <w:rsid w:val="5FD0361E"/>
    <w:rsid w:val="5FE50020"/>
    <w:rsid w:val="5FF76DFD"/>
    <w:rsid w:val="602472A5"/>
    <w:rsid w:val="603A3B19"/>
    <w:rsid w:val="605B3830"/>
    <w:rsid w:val="60673F83"/>
    <w:rsid w:val="60C34F31"/>
    <w:rsid w:val="60C90799"/>
    <w:rsid w:val="60CB2763"/>
    <w:rsid w:val="60D13AF2"/>
    <w:rsid w:val="6104584B"/>
    <w:rsid w:val="61045C75"/>
    <w:rsid w:val="610A2B60"/>
    <w:rsid w:val="61265BEC"/>
    <w:rsid w:val="61462F51"/>
    <w:rsid w:val="614C5323"/>
    <w:rsid w:val="615564D1"/>
    <w:rsid w:val="61860981"/>
    <w:rsid w:val="618E3FFB"/>
    <w:rsid w:val="61BA59B7"/>
    <w:rsid w:val="61F77588"/>
    <w:rsid w:val="61FD772E"/>
    <w:rsid w:val="62031A89"/>
    <w:rsid w:val="62051ACA"/>
    <w:rsid w:val="6243457B"/>
    <w:rsid w:val="624C4469"/>
    <w:rsid w:val="625A316E"/>
    <w:rsid w:val="62600C89"/>
    <w:rsid w:val="62724E61"/>
    <w:rsid w:val="628204D0"/>
    <w:rsid w:val="62AA45FB"/>
    <w:rsid w:val="62B62F9F"/>
    <w:rsid w:val="62C76F5B"/>
    <w:rsid w:val="62EA2C49"/>
    <w:rsid w:val="62EA5DBE"/>
    <w:rsid w:val="631940F9"/>
    <w:rsid w:val="6377487A"/>
    <w:rsid w:val="639037F0"/>
    <w:rsid w:val="63C3152B"/>
    <w:rsid w:val="63F26579"/>
    <w:rsid w:val="640B731B"/>
    <w:rsid w:val="64664551"/>
    <w:rsid w:val="646C261C"/>
    <w:rsid w:val="64976628"/>
    <w:rsid w:val="64AD03D2"/>
    <w:rsid w:val="64D90303"/>
    <w:rsid w:val="64E076E5"/>
    <w:rsid w:val="64E53141"/>
    <w:rsid w:val="64EA6A8F"/>
    <w:rsid w:val="65170FE2"/>
    <w:rsid w:val="65207558"/>
    <w:rsid w:val="65424FBE"/>
    <w:rsid w:val="65515201"/>
    <w:rsid w:val="65735178"/>
    <w:rsid w:val="659539CA"/>
    <w:rsid w:val="65965773"/>
    <w:rsid w:val="65B0017A"/>
    <w:rsid w:val="65D42A69"/>
    <w:rsid w:val="660653CE"/>
    <w:rsid w:val="661B5DB5"/>
    <w:rsid w:val="6655487D"/>
    <w:rsid w:val="66B42BF5"/>
    <w:rsid w:val="66F127F8"/>
    <w:rsid w:val="6723175B"/>
    <w:rsid w:val="672843FB"/>
    <w:rsid w:val="673F502F"/>
    <w:rsid w:val="6760172C"/>
    <w:rsid w:val="67696832"/>
    <w:rsid w:val="677B47B7"/>
    <w:rsid w:val="6796339F"/>
    <w:rsid w:val="67A01A76"/>
    <w:rsid w:val="67AB6E4B"/>
    <w:rsid w:val="67D55C76"/>
    <w:rsid w:val="67E72356"/>
    <w:rsid w:val="684C2C5A"/>
    <w:rsid w:val="689478DF"/>
    <w:rsid w:val="689F118D"/>
    <w:rsid w:val="68C63810"/>
    <w:rsid w:val="68F91E38"/>
    <w:rsid w:val="6916489B"/>
    <w:rsid w:val="691A3D23"/>
    <w:rsid w:val="69670B4F"/>
    <w:rsid w:val="6969304F"/>
    <w:rsid w:val="699D6C67"/>
    <w:rsid w:val="69AF0748"/>
    <w:rsid w:val="69B0699A"/>
    <w:rsid w:val="69FB7AA8"/>
    <w:rsid w:val="6A0942FC"/>
    <w:rsid w:val="6A1567FD"/>
    <w:rsid w:val="6A8E035E"/>
    <w:rsid w:val="6A9C7B27"/>
    <w:rsid w:val="6AB63605"/>
    <w:rsid w:val="6AEA5EDC"/>
    <w:rsid w:val="6AFC5C0F"/>
    <w:rsid w:val="6B064398"/>
    <w:rsid w:val="6B4A0729"/>
    <w:rsid w:val="6B76450C"/>
    <w:rsid w:val="6B8137BE"/>
    <w:rsid w:val="6C0E3A42"/>
    <w:rsid w:val="6C241CC4"/>
    <w:rsid w:val="6C351386"/>
    <w:rsid w:val="6C6A28AC"/>
    <w:rsid w:val="6C7C57CC"/>
    <w:rsid w:val="6C7F2654"/>
    <w:rsid w:val="6CB17718"/>
    <w:rsid w:val="6CC878EE"/>
    <w:rsid w:val="6CF50B68"/>
    <w:rsid w:val="6D1F7993"/>
    <w:rsid w:val="6D6C15A7"/>
    <w:rsid w:val="6D7C27F8"/>
    <w:rsid w:val="6D7E01BA"/>
    <w:rsid w:val="6DAA3F57"/>
    <w:rsid w:val="6DDC0A4B"/>
    <w:rsid w:val="6DFB21AE"/>
    <w:rsid w:val="6E5C0E9F"/>
    <w:rsid w:val="6E93314D"/>
    <w:rsid w:val="6E9C6D6E"/>
    <w:rsid w:val="6E9D3265"/>
    <w:rsid w:val="6ECF78C3"/>
    <w:rsid w:val="6EFA06B8"/>
    <w:rsid w:val="6F2D1BC6"/>
    <w:rsid w:val="6F6F7F20"/>
    <w:rsid w:val="6F997223"/>
    <w:rsid w:val="70230C69"/>
    <w:rsid w:val="70381498"/>
    <w:rsid w:val="705D4A5A"/>
    <w:rsid w:val="70884FD9"/>
    <w:rsid w:val="709D12FB"/>
    <w:rsid w:val="70AA3EA1"/>
    <w:rsid w:val="70B6524F"/>
    <w:rsid w:val="70FC4273"/>
    <w:rsid w:val="71145165"/>
    <w:rsid w:val="715045BF"/>
    <w:rsid w:val="71BE22F5"/>
    <w:rsid w:val="71C034F3"/>
    <w:rsid w:val="71E80C9B"/>
    <w:rsid w:val="71E847F7"/>
    <w:rsid w:val="721A055A"/>
    <w:rsid w:val="722A12B4"/>
    <w:rsid w:val="72420550"/>
    <w:rsid w:val="725400DF"/>
    <w:rsid w:val="72654BC5"/>
    <w:rsid w:val="72A1274E"/>
    <w:rsid w:val="72A3429E"/>
    <w:rsid w:val="72B172DF"/>
    <w:rsid w:val="72B62B48"/>
    <w:rsid w:val="72CB03A1"/>
    <w:rsid w:val="72D81B76"/>
    <w:rsid w:val="731F693F"/>
    <w:rsid w:val="732B7092"/>
    <w:rsid w:val="73334198"/>
    <w:rsid w:val="738D5656"/>
    <w:rsid w:val="73954000"/>
    <w:rsid w:val="73A155A6"/>
    <w:rsid w:val="73BE4472"/>
    <w:rsid w:val="73EC4A73"/>
    <w:rsid w:val="73ED7484"/>
    <w:rsid w:val="73F04BE0"/>
    <w:rsid w:val="740A314B"/>
    <w:rsid w:val="740F108B"/>
    <w:rsid w:val="741D4FA5"/>
    <w:rsid w:val="742F6718"/>
    <w:rsid w:val="743E1047"/>
    <w:rsid w:val="743F6C3D"/>
    <w:rsid w:val="74B35D12"/>
    <w:rsid w:val="74EE6765"/>
    <w:rsid w:val="750D429A"/>
    <w:rsid w:val="75143CB6"/>
    <w:rsid w:val="752A39D3"/>
    <w:rsid w:val="753A35BC"/>
    <w:rsid w:val="755D1C71"/>
    <w:rsid w:val="755F3023"/>
    <w:rsid w:val="75742F72"/>
    <w:rsid w:val="75834F63"/>
    <w:rsid w:val="759E7FEF"/>
    <w:rsid w:val="75A458F3"/>
    <w:rsid w:val="75AB44BA"/>
    <w:rsid w:val="75F02999"/>
    <w:rsid w:val="76083A1F"/>
    <w:rsid w:val="76397D18"/>
    <w:rsid w:val="76783DD2"/>
    <w:rsid w:val="76905212"/>
    <w:rsid w:val="7693567A"/>
    <w:rsid w:val="76F97D3E"/>
    <w:rsid w:val="77112A42"/>
    <w:rsid w:val="777022BA"/>
    <w:rsid w:val="779D6084"/>
    <w:rsid w:val="77AB07A1"/>
    <w:rsid w:val="77AB254F"/>
    <w:rsid w:val="77B43AFA"/>
    <w:rsid w:val="77B97AF7"/>
    <w:rsid w:val="77BC29AE"/>
    <w:rsid w:val="77C8684F"/>
    <w:rsid w:val="78174088"/>
    <w:rsid w:val="783644BD"/>
    <w:rsid w:val="78571B1D"/>
    <w:rsid w:val="78574485"/>
    <w:rsid w:val="78667397"/>
    <w:rsid w:val="78811939"/>
    <w:rsid w:val="7883171E"/>
    <w:rsid w:val="7883527A"/>
    <w:rsid w:val="78A51694"/>
    <w:rsid w:val="78CA10FB"/>
    <w:rsid w:val="78DB6E64"/>
    <w:rsid w:val="78E90790"/>
    <w:rsid w:val="78EA661F"/>
    <w:rsid w:val="7956088F"/>
    <w:rsid w:val="795F3529"/>
    <w:rsid w:val="797C6E8A"/>
    <w:rsid w:val="79894B12"/>
    <w:rsid w:val="799A6D1F"/>
    <w:rsid w:val="799E1B11"/>
    <w:rsid w:val="79AC4E08"/>
    <w:rsid w:val="79C67FF1"/>
    <w:rsid w:val="79D044EF"/>
    <w:rsid w:val="79DA536E"/>
    <w:rsid w:val="79E306C6"/>
    <w:rsid w:val="79F301DD"/>
    <w:rsid w:val="7A0E5017"/>
    <w:rsid w:val="7A122D59"/>
    <w:rsid w:val="7A141457"/>
    <w:rsid w:val="7A3C725B"/>
    <w:rsid w:val="7A513882"/>
    <w:rsid w:val="7A777060"/>
    <w:rsid w:val="7A7867D2"/>
    <w:rsid w:val="7A90250C"/>
    <w:rsid w:val="7A9E5E01"/>
    <w:rsid w:val="7AA31C03"/>
    <w:rsid w:val="7AAA4D40"/>
    <w:rsid w:val="7AAC271B"/>
    <w:rsid w:val="7AC67614"/>
    <w:rsid w:val="7AEC14CB"/>
    <w:rsid w:val="7B560A24"/>
    <w:rsid w:val="7B7B1CB4"/>
    <w:rsid w:val="7B8637AF"/>
    <w:rsid w:val="7BD227A0"/>
    <w:rsid w:val="7BEE3352"/>
    <w:rsid w:val="7BFC15CB"/>
    <w:rsid w:val="7C1A7CA3"/>
    <w:rsid w:val="7C1F52BA"/>
    <w:rsid w:val="7C2F7BF3"/>
    <w:rsid w:val="7C4B2553"/>
    <w:rsid w:val="7C4E46B2"/>
    <w:rsid w:val="7C776EA4"/>
    <w:rsid w:val="7C833A9B"/>
    <w:rsid w:val="7CCA31CD"/>
    <w:rsid w:val="7CFA10AF"/>
    <w:rsid w:val="7D1C5B8A"/>
    <w:rsid w:val="7D6C47B9"/>
    <w:rsid w:val="7D821ADC"/>
    <w:rsid w:val="7D823D52"/>
    <w:rsid w:val="7D8B70AB"/>
    <w:rsid w:val="7D9901C5"/>
    <w:rsid w:val="7DB44158"/>
    <w:rsid w:val="7DBB7264"/>
    <w:rsid w:val="7DD54E72"/>
    <w:rsid w:val="7DEB1EBF"/>
    <w:rsid w:val="7DF15FF2"/>
    <w:rsid w:val="7E2B6198"/>
    <w:rsid w:val="7E4454AB"/>
    <w:rsid w:val="7E8D6E52"/>
    <w:rsid w:val="7ECB248A"/>
    <w:rsid w:val="7ED95BF4"/>
    <w:rsid w:val="7EFB3DBC"/>
    <w:rsid w:val="7F152022"/>
    <w:rsid w:val="7F183EFE"/>
    <w:rsid w:val="7F3B68AE"/>
    <w:rsid w:val="7F427C3D"/>
    <w:rsid w:val="7FBD5515"/>
    <w:rsid w:val="7FD340FE"/>
    <w:rsid w:val="7FF24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60" w:lineRule="exact"/>
      <w:ind w:firstLine="904" w:firstLineChars="200"/>
      <w:jc w:val="both"/>
    </w:pPr>
    <w:rPr>
      <w:rFonts w:ascii="Times New Roman" w:hAnsi="Times New Roman" w:eastAsia="方正仿宋_GBK" w:cstheme="minorBidi"/>
      <w:kern w:val="2"/>
      <w:sz w:val="32"/>
      <w:szCs w:val="24"/>
      <w:lang w:val="en-US" w:eastAsia="zh-CN" w:bidi="ar-SA"/>
    </w:rPr>
  </w:style>
  <w:style w:type="paragraph" w:styleId="4">
    <w:name w:val="heading 1"/>
    <w:next w:val="1"/>
    <w:autoRedefine/>
    <w:qFormat/>
    <w:uiPriority w:val="0"/>
    <w:pPr>
      <w:keepNext/>
      <w:keepLines/>
      <w:widowControl w:val="0"/>
      <w:spacing w:line="576" w:lineRule="exact"/>
      <w:ind w:firstLine="200" w:firstLineChars="200"/>
      <w:jc w:val="both"/>
      <w:outlineLvl w:val="0"/>
    </w:pPr>
    <w:rPr>
      <w:rFonts w:eastAsia="方正黑体_GBK" w:asciiTheme="minorHAnsi" w:hAnsiTheme="minorHAnsi" w:cstheme="minorBidi"/>
      <w:bCs/>
      <w:kern w:val="44"/>
      <w:sz w:val="32"/>
      <w:szCs w:val="44"/>
      <w:lang w:val="en-US" w:eastAsia="zh-CN" w:bidi="ar-SA"/>
    </w:rPr>
  </w:style>
  <w:style w:type="paragraph" w:styleId="5">
    <w:name w:val="heading 2"/>
    <w:basedOn w:val="1"/>
    <w:next w:val="1"/>
    <w:link w:val="33"/>
    <w:autoRedefine/>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autoRedefine/>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7">
    <w:name w:val="heading 4"/>
    <w:basedOn w:val="1"/>
    <w:next w:val="1"/>
    <w:autoRedefine/>
    <w:qFormat/>
    <w:uiPriority w:val="0"/>
    <w:pPr>
      <w:keepNext/>
      <w:keepLines/>
      <w:numPr>
        <w:ilvl w:val="3"/>
        <w:numId w:val="1"/>
      </w:numPr>
      <w:tabs>
        <w:tab w:val="left" w:pos="2424"/>
      </w:tabs>
      <w:spacing w:before="280" w:after="290" w:line="372" w:lineRule="auto"/>
      <w:outlineLvl w:val="3"/>
    </w:pPr>
    <w:rPr>
      <w:rFonts w:ascii="Arial" w:hAnsi="Arial" w:eastAsia="黑体"/>
      <w:b/>
      <w:bCs/>
      <w:sz w:val="28"/>
      <w:szCs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1"/>
    <w:pPr>
      <w:ind w:left="159"/>
    </w:pPr>
    <w:rPr>
      <w:rFonts w:ascii="宋体" w:hAnsi="宋体" w:cs="宋体"/>
      <w:sz w:val="32"/>
      <w:szCs w:val="32"/>
      <w:lang w:val="zh-CN" w:bidi="zh-CN"/>
    </w:rPr>
  </w:style>
  <w:style w:type="paragraph" w:customStyle="1" w:styleId="3">
    <w:name w:val="目录 11"/>
    <w:next w:val="1"/>
    <w:autoRedefine/>
    <w:qFormat/>
    <w:uiPriority w:val="0"/>
    <w:pPr>
      <w:wordWrap w:val="0"/>
      <w:jc w:val="both"/>
    </w:pPr>
    <w:rPr>
      <w:rFonts w:ascii="Times New Roman" w:hAnsi="Times New Roman" w:eastAsia="宋体" w:cs="Times New Roman"/>
      <w:sz w:val="21"/>
      <w:szCs w:val="22"/>
      <w:lang w:val="en-US" w:eastAsia="zh-CN" w:bidi="ar-SA"/>
    </w:rPr>
  </w:style>
  <w:style w:type="paragraph" w:styleId="8">
    <w:name w:val="index 8"/>
    <w:basedOn w:val="1"/>
    <w:next w:val="1"/>
    <w:autoRedefine/>
    <w:qFormat/>
    <w:uiPriority w:val="0"/>
    <w:pPr>
      <w:adjustRightInd w:val="0"/>
      <w:snapToGrid w:val="0"/>
      <w:spacing w:line="360" w:lineRule="auto"/>
    </w:pPr>
    <w:rPr>
      <w:rFonts w:ascii="宋体" w:hAnsi="宋体" w:eastAsia="宋体"/>
      <w:b/>
      <w:sz w:val="24"/>
    </w:rPr>
  </w:style>
  <w:style w:type="paragraph" w:styleId="9">
    <w:name w:val="Normal Indent"/>
    <w:basedOn w:val="1"/>
    <w:next w:val="7"/>
    <w:autoRedefine/>
    <w:qFormat/>
    <w:uiPriority w:val="0"/>
    <w:rPr>
      <w:rFonts w:eastAsia="仿宋_GB2312"/>
      <w:sz w:val="28"/>
    </w:rPr>
  </w:style>
  <w:style w:type="paragraph" w:styleId="10">
    <w:name w:val="caption"/>
    <w:basedOn w:val="1"/>
    <w:next w:val="1"/>
    <w:autoRedefine/>
    <w:semiHidden/>
    <w:unhideWhenUsed/>
    <w:qFormat/>
    <w:uiPriority w:val="0"/>
    <w:pPr>
      <w:widowControl w:val="0"/>
      <w:spacing w:line="560" w:lineRule="exact"/>
      <w:ind w:firstLine="200" w:firstLineChars="200"/>
      <w:jc w:val="both"/>
    </w:pPr>
    <w:rPr>
      <w:rFonts w:ascii="Arial" w:hAnsi="Arial" w:eastAsia="黑体" w:cstheme="minorBidi"/>
      <w:kern w:val="2"/>
      <w:sz w:val="20"/>
      <w:szCs w:val="24"/>
      <w:lang w:val="en-US" w:eastAsia="zh-CN" w:bidi="ar-SA"/>
    </w:rPr>
  </w:style>
  <w:style w:type="paragraph" w:styleId="11">
    <w:name w:val="annotation text"/>
    <w:basedOn w:val="1"/>
    <w:autoRedefine/>
    <w:qFormat/>
    <w:uiPriority w:val="0"/>
    <w:pPr>
      <w:jc w:val="left"/>
    </w:pPr>
  </w:style>
  <w:style w:type="paragraph" w:styleId="12">
    <w:name w:val="Body Text Indent"/>
    <w:basedOn w:val="1"/>
    <w:next w:val="1"/>
    <w:autoRedefine/>
    <w:qFormat/>
    <w:uiPriority w:val="0"/>
    <w:pPr>
      <w:ind w:left="420" w:leftChars="200"/>
    </w:pPr>
    <w:rPr>
      <w:rFonts w:eastAsia="楷体"/>
    </w:rPr>
  </w:style>
  <w:style w:type="paragraph" w:styleId="13">
    <w:name w:val="toc 3"/>
    <w:basedOn w:val="1"/>
    <w:next w:val="1"/>
    <w:autoRedefine/>
    <w:qFormat/>
    <w:uiPriority w:val="0"/>
    <w:pPr>
      <w:ind w:left="840" w:leftChars="400"/>
    </w:pPr>
  </w:style>
  <w:style w:type="paragraph" w:styleId="14">
    <w:name w:val="Plain Text"/>
    <w:basedOn w:val="1"/>
    <w:autoRedefine/>
    <w:qFormat/>
    <w:uiPriority w:val="0"/>
    <w:rPr>
      <w:rFonts w:ascii="宋体" w:hAnsi="Courier New"/>
    </w:rPr>
  </w:style>
  <w:style w:type="paragraph" w:styleId="15">
    <w:name w:val="footer"/>
    <w:basedOn w:val="1"/>
    <w:link w:val="30"/>
    <w:autoRedefine/>
    <w:qFormat/>
    <w:uiPriority w:val="99"/>
    <w:pPr>
      <w:tabs>
        <w:tab w:val="center" w:pos="4153"/>
        <w:tab w:val="right" w:pos="8306"/>
      </w:tabs>
      <w:snapToGrid w:val="0"/>
      <w:jc w:val="left"/>
    </w:pPr>
    <w:rPr>
      <w:sz w:val="18"/>
    </w:rPr>
  </w:style>
  <w:style w:type="paragraph" w:styleId="16">
    <w:name w:val="header"/>
    <w:basedOn w:val="1"/>
    <w:link w:val="34"/>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autoRedefine/>
    <w:unhideWhenUsed/>
    <w:qFormat/>
    <w:uiPriority w:val="39"/>
    <w:rPr>
      <w:rFonts w:ascii="Calibri" w:hAnsi="Calibri" w:eastAsia="宋体" w:cs="Times New Roman"/>
    </w:rPr>
  </w:style>
  <w:style w:type="paragraph" w:styleId="18">
    <w:name w:val="toc 2"/>
    <w:next w:val="1"/>
    <w:autoRedefine/>
    <w:qFormat/>
    <w:uiPriority w:val="0"/>
    <w:pPr>
      <w:widowControl w:val="0"/>
      <w:ind w:left="420" w:leftChars="200"/>
      <w:jc w:val="both"/>
    </w:pPr>
    <w:rPr>
      <w:rFonts w:asciiTheme="minorHAnsi" w:hAnsiTheme="minorHAnsi" w:eastAsiaTheme="minorEastAsia" w:cstheme="minorBidi"/>
      <w:kern w:val="2"/>
      <w:sz w:val="21"/>
      <w:szCs w:val="24"/>
      <w:lang w:val="en-US" w:eastAsia="zh-CN" w:bidi="ar-SA"/>
    </w:rPr>
  </w:style>
  <w:style w:type="paragraph" w:styleId="19">
    <w:name w:val="Normal (Web)"/>
    <w:basedOn w:val="1"/>
    <w:autoRedefine/>
    <w:qFormat/>
    <w:uiPriority w:val="0"/>
    <w:pPr>
      <w:spacing w:beforeAutospacing="1" w:afterAutospacing="1"/>
      <w:jc w:val="left"/>
    </w:pPr>
    <w:rPr>
      <w:rFonts w:cs="Times New Roman"/>
      <w:kern w:val="0"/>
      <w:sz w:val="24"/>
    </w:rPr>
  </w:style>
  <w:style w:type="paragraph" w:styleId="20">
    <w:name w:val="Title"/>
    <w:basedOn w:val="1"/>
    <w:next w:val="1"/>
    <w:link w:val="32"/>
    <w:autoRedefine/>
    <w:qFormat/>
    <w:uiPriority w:val="0"/>
    <w:pPr>
      <w:spacing w:before="240" w:after="60"/>
      <w:jc w:val="center"/>
      <w:outlineLvl w:val="0"/>
    </w:pPr>
    <w:rPr>
      <w:rFonts w:ascii="Cambria" w:hAnsi="Cambria" w:eastAsia="宋体" w:cs="Times New Roman"/>
      <w:b/>
      <w:bCs/>
      <w:sz w:val="32"/>
      <w:szCs w:val="32"/>
    </w:rPr>
  </w:style>
  <w:style w:type="paragraph" w:styleId="21">
    <w:name w:val="Body Text First Indent"/>
    <w:basedOn w:val="2"/>
    <w:next w:val="22"/>
    <w:autoRedefine/>
    <w:qFormat/>
    <w:uiPriority w:val="0"/>
    <w:pPr>
      <w:ind w:firstLine="420" w:firstLineChars="100"/>
    </w:pPr>
  </w:style>
  <w:style w:type="paragraph" w:styleId="22">
    <w:name w:val="Body Text First Indent 2"/>
    <w:basedOn w:val="12"/>
    <w:next w:val="1"/>
    <w:autoRedefine/>
    <w:qFormat/>
    <w:uiPriority w:val="0"/>
    <w:pPr>
      <w:ind w:firstLine="420" w:firstLineChars="200"/>
    </w:p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autoRedefine/>
    <w:qFormat/>
    <w:uiPriority w:val="0"/>
    <w:rPr>
      <w:color w:val="0000FF"/>
      <w:u w:val="single"/>
    </w:rPr>
  </w:style>
  <w:style w:type="character" w:styleId="27">
    <w:name w:val="annotation reference"/>
    <w:basedOn w:val="25"/>
    <w:autoRedefine/>
    <w:qFormat/>
    <w:uiPriority w:val="0"/>
    <w:rPr>
      <w:sz w:val="21"/>
      <w:szCs w:val="21"/>
    </w:rPr>
  </w:style>
  <w:style w:type="paragraph" w:customStyle="1" w:styleId="28">
    <w:name w:val="BodyTextIndent"/>
    <w:basedOn w:val="1"/>
    <w:autoRedefine/>
    <w:qFormat/>
    <w:uiPriority w:val="0"/>
    <w:pPr>
      <w:tabs>
        <w:tab w:val="left" w:pos="360"/>
        <w:tab w:val="left" w:pos="540"/>
        <w:tab w:val="left" w:pos="720"/>
        <w:tab w:val="left" w:pos="1800"/>
      </w:tabs>
      <w:spacing w:line="360" w:lineRule="auto"/>
      <w:ind w:firstLine="573"/>
    </w:pPr>
    <w:rPr>
      <w:sz w:val="28"/>
    </w:rPr>
  </w:style>
  <w:style w:type="character" w:customStyle="1" w:styleId="29">
    <w:name w:val="NormalCharacter"/>
    <w:autoRedefine/>
    <w:semiHidden/>
    <w:qFormat/>
    <w:uiPriority w:val="0"/>
    <w:rPr>
      <w:rFonts w:ascii="Calibri" w:hAnsi="Calibri" w:eastAsia="宋体" w:cs="Times New Roman"/>
      <w:kern w:val="2"/>
      <w:sz w:val="21"/>
      <w:szCs w:val="24"/>
      <w:lang w:val="en-US" w:eastAsia="zh-CN" w:bidi="ar-SA"/>
    </w:rPr>
  </w:style>
  <w:style w:type="character" w:customStyle="1" w:styleId="30">
    <w:name w:val="页脚 字符"/>
    <w:basedOn w:val="25"/>
    <w:link w:val="15"/>
    <w:autoRedefine/>
    <w:qFormat/>
    <w:uiPriority w:val="99"/>
    <w:rPr>
      <w:rFonts w:asciiTheme="minorHAnsi" w:hAnsiTheme="minorHAnsi" w:eastAsiaTheme="minorEastAsia" w:cstheme="minorBidi"/>
      <w:kern w:val="2"/>
      <w:sz w:val="18"/>
      <w:szCs w:val="24"/>
    </w:rPr>
  </w:style>
  <w:style w:type="paragraph" w:styleId="31">
    <w:name w:val="List Paragraph"/>
    <w:basedOn w:val="1"/>
    <w:autoRedefine/>
    <w:unhideWhenUsed/>
    <w:qFormat/>
    <w:uiPriority w:val="99"/>
    <w:pPr>
      <w:ind w:firstLine="420" w:firstLineChars="200"/>
    </w:pPr>
  </w:style>
  <w:style w:type="character" w:customStyle="1" w:styleId="32">
    <w:name w:val="标题 字符"/>
    <w:basedOn w:val="25"/>
    <w:link w:val="20"/>
    <w:autoRedefine/>
    <w:qFormat/>
    <w:uiPriority w:val="0"/>
    <w:rPr>
      <w:rFonts w:ascii="Cambria" w:hAnsi="Cambria"/>
      <w:b/>
      <w:bCs/>
      <w:kern w:val="2"/>
      <w:sz w:val="32"/>
      <w:szCs w:val="32"/>
    </w:rPr>
  </w:style>
  <w:style w:type="character" w:customStyle="1" w:styleId="33">
    <w:name w:val="标题 2 字符"/>
    <w:basedOn w:val="25"/>
    <w:link w:val="5"/>
    <w:autoRedefine/>
    <w:semiHidden/>
    <w:qFormat/>
    <w:uiPriority w:val="0"/>
    <w:rPr>
      <w:rFonts w:asciiTheme="majorHAnsi" w:hAnsiTheme="majorHAnsi" w:eastAsiaTheme="majorEastAsia" w:cstheme="majorBidi"/>
      <w:b/>
      <w:bCs/>
      <w:kern w:val="2"/>
      <w:sz w:val="32"/>
      <w:szCs w:val="32"/>
    </w:rPr>
  </w:style>
  <w:style w:type="character" w:customStyle="1" w:styleId="34">
    <w:name w:val="页眉 字符"/>
    <w:basedOn w:val="25"/>
    <w:link w:val="16"/>
    <w:autoRedefine/>
    <w:qFormat/>
    <w:uiPriority w:val="99"/>
    <w:rPr>
      <w:rFonts w:asciiTheme="minorHAnsi" w:hAnsiTheme="minorHAnsi" w:eastAsiaTheme="minorEastAsia" w:cstheme="minorBidi"/>
      <w:kern w:val="2"/>
      <w:sz w:val="18"/>
      <w:szCs w:val="24"/>
    </w:rPr>
  </w:style>
  <w:style w:type="paragraph" w:customStyle="1" w:styleId="35">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jpeg"/><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325</Words>
  <Characters>368</Characters>
  <Lines>712</Lines>
  <Paragraphs>200</Paragraphs>
  <TotalTime>2</TotalTime>
  <ScaleCrop>false</ScaleCrop>
  <LinksUpToDate>false</LinksUpToDate>
  <CharactersWithSpaces>439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2023-09-20T07:41:00Z</dcterms:created>
  <dc:creator>向华~重庆市现代物流发展研究院</dc:creator>
  <cp:lastModifiedBy>沐若清辰</cp:lastModifiedBy>
  <cp:lastPrinted>2023-11-15T12:55:00Z</cp:lastPrinted>
  <dcterms:modified xsi:type="dcterms:W3CDTF">2026-06-04T01:34:26Z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1C05F50BBCCD44A69E8BA2482A7A031B_13</vt:lpwstr>
  </property>
</Properties>
</file>