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226" w:afterAutospacing="0" w:line="30" w:lineRule="atLeast"/>
        <w:ind w:right="0"/>
        <w:jc w:val="both"/>
        <w:rPr>
          <w:rStyle w:val="5"/>
          <w:rFonts w:hint="eastAsia" w:ascii="仿宋" w:hAnsi="仿宋" w:eastAsia="仿宋" w:cs="仿宋"/>
          <w:color w:val="444444"/>
          <w:sz w:val="32"/>
          <w:szCs w:val="32"/>
          <w:shd w:val="clear" w:fill="F0F0F0"/>
          <w:lang w:val="en-US" w:eastAsia="zh-CN"/>
        </w:rPr>
      </w:pPr>
    </w:p>
    <w:p>
      <w:pPr>
        <w:pStyle w:val="2"/>
        <w:keepNext w:val="0"/>
        <w:keepLines w:val="0"/>
        <w:widowControl/>
        <w:suppressLineNumbers w:val="0"/>
        <w:spacing w:before="0" w:beforeAutospacing="0" w:after="226" w:afterAutospacing="0" w:line="30" w:lineRule="atLeast"/>
        <w:ind w:right="0"/>
        <w:jc w:val="center"/>
        <w:rPr>
          <w:rStyle w:val="5"/>
          <w:rFonts w:hint="eastAsia" w:ascii="仿宋" w:hAnsi="仿宋" w:eastAsia="仿宋" w:cs="仿宋"/>
          <w:color w:val="444444"/>
          <w:sz w:val="32"/>
          <w:szCs w:val="32"/>
          <w:shd w:val="clear" w:fill="F0F0F0"/>
        </w:rPr>
      </w:pPr>
    </w:p>
    <w:p>
      <w:pPr>
        <w:pStyle w:val="2"/>
        <w:keepNext w:val="0"/>
        <w:keepLines w:val="0"/>
        <w:widowControl/>
        <w:suppressLineNumbers w:val="0"/>
        <w:spacing w:before="0" w:beforeAutospacing="0" w:after="226" w:afterAutospacing="0" w:line="30" w:lineRule="atLeast"/>
        <w:ind w:right="0"/>
        <w:jc w:val="center"/>
        <w:rPr>
          <w:rStyle w:val="5"/>
          <w:rFonts w:hint="eastAsia" w:ascii="仿宋" w:hAnsi="仿宋" w:eastAsia="仿宋" w:cs="仿宋"/>
          <w:color w:val="444444"/>
          <w:sz w:val="32"/>
          <w:szCs w:val="32"/>
          <w:shd w:val="clear" w:fill="F0F0F0"/>
        </w:rPr>
      </w:pPr>
    </w:p>
    <w:p>
      <w:pPr>
        <w:pStyle w:val="2"/>
        <w:keepNext w:val="0"/>
        <w:keepLines w:val="0"/>
        <w:widowControl/>
        <w:suppressLineNumbers w:val="0"/>
        <w:spacing w:before="0" w:beforeAutospacing="0" w:after="226" w:afterAutospacing="0" w:line="30" w:lineRule="atLeast"/>
        <w:ind w:right="0"/>
        <w:jc w:val="center"/>
        <w:rPr>
          <w:rFonts w:hint="eastAsia" w:ascii="仿宋" w:hAnsi="仿宋" w:eastAsia="仿宋" w:cs="仿宋"/>
          <w:b/>
          <w:bCs/>
          <w:kern w:val="2"/>
          <w:sz w:val="40"/>
          <w:szCs w:val="40"/>
          <w:lang w:val="en-US" w:eastAsia="zh-CN" w:bidi="ar-SA"/>
        </w:rPr>
      </w:pPr>
      <w:r>
        <w:rPr>
          <w:rFonts w:hint="eastAsia" w:ascii="仿宋" w:hAnsi="仿宋" w:eastAsia="仿宋" w:cs="仿宋"/>
          <w:b/>
          <w:bCs/>
          <w:kern w:val="2"/>
          <w:sz w:val="40"/>
          <w:szCs w:val="40"/>
          <w:lang w:val="en-US" w:eastAsia="zh-CN" w:bidi="ar-SA"/>
        </w:rPr>
        <w:t>中华人民共和国民政部令</w:t>
      </w:r>
    </w:p>
    <w:p>
      <w:pPr>
        <w:pStyle w:val="2"/>
        <w:keepNext w:val="0"/>
        <w:keepLines w:val="0"/>
        <w:widowControl/>
        <w:suppressLineNumbers w:val="0"/>
        <w:spacing w:before="0" w:beforeAutospacing="0" w:after="226" w:afterAutospacing="0" w:line="30" w:lineRule="atLeast"/>
        <w:ind w:left="0" w:right="0" w:firstLine="420"/>
        <w:jc w:val="center"/>
        <w:rPr>
          <w:rFonts w:hint="eastAsia" w:ascii="仿宋" w:hAnsi="仿宋" w:eastAsia="仿宋" w:cs="仿宋"/>
          <w:b/>
          <w:bCs/>
          <w:kern w:val="2"/>
          <w:sz w:val="40"/>
          <w:szCs w:val="40"/>
          <w:lang w:val="en-US" w:eastAsia="zh-CN" w:bidi="ar-SA"/>
        </w:rPr>
      </w:pPr>
      <w:r>
        <w:rPr>
          <w:rFonts w:hint="eastAsia" w:ascii="仿宋" w:hAnsi="仿宋" w:eastAsia="仿宋" w:cs="仿宋"/>
          <w:b/>
          <w:bCs/>
          <w:kern w:val="2"/>
          <w:sz w:val="40"/>
          <w:szCs w:val="40"/>
          <w:lang w:val="en-US" w:eastAsia="zh-CN" w:bidi="ar-SA"/>
        </w:rPr>
        <w:t>第66号</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《养老机构管理办法》已经2020年8月21日民政部部务会议通过，现予公布，自2020年11月1日起施行。</w:t>
      </w:r>
    </w:p>
    <w:p>
      <w:pPr>
        <w:pStyle w:val="2"/>
        <w:keepNext w:val="0"/>
        <w:keepLines w:val="0"/>
        <w:widowControl/>
        <w:suppressLineNumbers w:val="0"/>
        <w:spacing w:before="0" w:beforeAutospacing="0" w:after="226" w:afterAutospacing="0" w:line="30" w:lineRule="atLeast"/>
        <w:ind w:left="0" w:right="0" w:firstLine="420"/>
        <w:jc w:val="right"/>
        <w:rPr>
          <w:rFonts w:hint="eastAsia" w:ascii="仿宋" w:hAnsi="仿宋" w:eastAsia="仿宋" w:cs="仿宋"/>
          <w:kern w:val="2"/>
          <w:sz w:val="32"/>
          <w:szCs w:val="32"/>
          <w:lang w:val="en-US" w:eastAsia="zh-CN" w:bidi="ar-SA"/>
        </w:rPr>
      </w:pPr>
      <w:bookmarkStart w:id="0" w:name="_GoBack"/>
      <w:bookmarkEnd w:id="0"/>
      <w:r>
        <w:rPr>
          <w:rFonts w:hint="eastAsia" w:ascii="仿宋" w:hAnsi="仿宋" w:eastAsia="仿宋" w:cs="仿宋"/>
          <w:kern w:val="2"/>
          <w:sz w:val="32"/>
          <w:szCs w:val="32"/>
          <w:lang w:val="en-US" w:eastAsia="zh-CN" w:bidi="ar-SA"/>
        </w:rPr>
        <w:t>部长：李纪恒</w:t>
      </w:r>
    </w:p>
    <w:p>
      <w:pPr>
        <w:pStyle w:val="2"/>
        <w:keepNext w:val="0"/>
        <w:keepLines w:val="0"/>
        <w:widowControl/>
        <w:suppressLineNumbers w:val="0"/>
        <w:spacing w:before="0" w:beforeAutospacing="0" w:after="226" w:afterAutospacing="0" w:line="30" w:lineRule="atLeast"/>
        <w:ind w:left="0" w:right="0" w:firstLine="420"/>
        <w:jc w:val="righ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2020年9月1日</w:t>
      </w:r>
    </w:p>
    <w:p>
      <w:pPr>
        <w:pStyle w:val="2"/>
        <w:keepNext w:val="0"/>
        <w:keepLines w:val="0"/>
        <w:widowControl/>
        <w:suppressLineNumbers w:val="0"/>
        <w:spacing w:before="0" w:beforeAutospacing="0" w:after="226" w:afterAutospacing="0" w:line="30" w:lineRule="atLeast"/>
        <w:ind w:left="0" w:right="0" w:firstLine="42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第一章  总 则</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第一条  为了规范对养老机构的管理，促进养老服务健康发展，根据《中华人民共和国老年人权益保障法》和有关法律、行政法规，制定本办法。</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第二条  本办法所称养老机构是指依法办理登记，为老年人提供全日集中住宿和照料护理服务，床位数在10张以上的机构。</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养老机构包括营利性养老机构和非营利性养老机构。</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第三条  县级以上人民政府民政部门负责养老机构的指导、监督和管理。其他有关部门依照职责分工对养老机构实施监督。</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第四条  养老机构应当按照建筑、消防、食品安全、医疗卫生、特种设备等法律、法规和强制性标准开展服务活动。</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养老机构及其工作人员应当依法保障收住老年人的人身权、财产权等合法权益。</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第五条  入住养老机构的老年人及其代理人应当遵守养老机构的规章制度，维护养老机构正常服务秩序。</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第六条  政府投资兴办的养老机构在满足特困人员集中供养需求的前提下，优先保障经济困难的孤寡、失能、高龄、计划生育特殊家庭等老年人的服务需求。</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政府投资兴办的养老机构，可以采取委托管理、租赁经营等方式，交由社会力量运营管理。</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第七条  民政部门应当会同有关部门采取措施，鼓励、支持企业事业单位、社会组织或者个人兴办、运营养老机构。</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鼓励自然人、法人或者其他组织依法为养老机构提供捐赠和志愿服务。</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第八条  鼓励养老机构加入养老服务行业组织，加强行业自律和诚信建设，促进行业规范有序发展。</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p>
    <w:p>
      <w:pPr>
        <w:pStyle w:val="2"/>
        <w:keepNext w:val="0"/>
        <w:keepLines w:val="0"/>
        <w:widowControl/>
        <w:suppressLineNumbers w:val="0"/>
        <w:spacing w:before="0" w:beforeAutospacing="0" w:after="226" w:afterAutospacing="0" w:line="30" w:lineRule="atLeast"/>
        <w:ind w:left="0" w:right="0" w:firstLine="42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第二章  备案办理</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第九条  设立营利性养老机构，应当在市场监督管理部门办理登记。设立非营利性养老机构，应当依法办理相应的登记。</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养老机构登记后即可开展服务活动。</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第十条  营利性养老机构办理备案，应当在收住老年人后10个工作日以内向服务场所所在地的县级人民政府民政部门提出。非营利性养老机构办理备案，应当在收住老年人后10个工作日以内向登记管理机关同级的人民政府民政部门提出。</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第十一条  养老机构办理备案，应当向民政部门提交备案申请书、养老机构登记证书、符合本办法第四条要求的承诺书等材料，并对真实性负责。</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备案申请书应当包括下列内容：</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（一）养老机构基本情况，包括名称、住所、法定代表人或者主要负责人信息等；</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（二）服务场所权属；</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（三）养老床位数量；</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（四）服务设施面积；</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（五）联系人和联系方式。</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民政部门应当加强信息化建设，逐步实现网上备案。</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第十二条  民政部门收到养老机构备案材料后，对材料齐全的，应当出具备案回执；材料不齐全的，应当指导养老机构补正。</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第十三条  已经备案的养老机构变更名称、法定代表人或者主要负责人等登记事项，或者变更服务场所权属、养老床位数量、服务设施面积等事项的，应当及时向原备案民政部门办理变更备案。</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在原备案机关辖区内变更服务场所的，应当及时向原备案民政部门办理变更备案。营利性养老机构跨原备案机关辖区变更服务场所的，应当及时向变更后的服务场所所在地县级人民政府民政部门办理备案。</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第十四条  民政部门应当通过政府网站、政务新媒体、办事大厅公示栏、服务窗口等途径向社会公开备案事项及流程、材料清单等信息。</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民政部门应当依托全国一体化在线政务服务平台，推进登记管理机关、备案机关信息系统互联互通、数据共享。</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第三章  服务规范</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第十五条  养老机构应当建立入院评估制度，对老年人的身心状况进行评估，并根据评估结果确定照料护理等级。</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老年人身心状况发生变化，需要变更照料护理等级的，养老机构应当重新进行评估。</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养老机构确定或者变更老年人照料护理等级，应当经老年人或者其代理人同意。</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第十六条  养老机构应当与老年人或者其代理人签订服务协议，明确当事人的权利和义务。</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服务协议一般包括下列条款：</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（一）养老机构的名称、住所、法定代表人或者主要负责人、联系方式；</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（二）老年人或者其代理人和紧急联系人的姓名、住址、身份证明、联系方式；</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（三）照料护理等级和服务内容、服务方式；</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（四）收费标准和费用支付方式；</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（五）服务期限和场所；</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（六）协议变更、解除与终止的条件；</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（七）暂停或者终止服务时老年人安置方式；</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（八）违约责任和争议解决方式；</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（九）当事人协商一致的其他内容。</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第十七条  养老机构按照服务协议为老年人提供生活照料、康复护理、精神慰藉、文化娱乐等服务。</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第十八条  养老机构应当为老年人提供饮食、起居、清洁、卫生等生活照料服务。</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养老机构应当提供符合老年人住宿条件的居住用房，并配备适合老年人安全保护要求的设施、设备及用具，定期对老年人的活动场所和物品进行消毒和清洗。</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养老机构提供的饮食应当符合食品安全要求、适宜老年人食用、有利于老年人营养平衡、符合民族风俗习惯。</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第十九条  养老机构应当为老年人建立健康档案，开展日常保健知识宣传，做好疾病预防工作。养老机构在老年人突发危重疾病时，应当及时转送医疗机构救治并通知其紧急联系人。</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养老机构可以通过设立医疗机构或者采取与周边医疗机构合作的方式，为老年人提供医疗服务。养老机构设立医疗机构的，应当按照医疗机构管理相关法律法规进行管理。</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第二十条  养老机构发现老年人为传染病病人或者疑似传染病病人的，应当及时向附近的疾病预防控制机构或者医疗机构报告，配合实施卫生处理、隔离等预防控制措施。</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养老机构发现老年人为疑似精神障碍患者的，应当依照精神卫生相关法律法规的规定处理。</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第二十一条  养老机构应当根据需要为老年人提供情绪疏导、心理咨询、危机干预等精神慰藉服务。</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第二十二条  养老机构应当开展适合老年人的文化、教育、体育、娱乐活动，丰富老年人的精神文化生活。</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养老机构开展文化、教育、体育、娱乐活动时，应当为老年人提供必要的安全防护措施。</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第二十三条  养老机构应当为老年人家庭成员看望或者问候老年人提供便利，为老年人联系家庭成员提供帮助。</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第二十四条  鼓励养老机构运营社区养老服务设施，或者上门为居家老年人提供助餐、助浴、助洁等服务。</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p>
    <w:p>
      <w:pPr>
        <w:pStyle w:val="2"/>
        <w:keepNext w:val="0"/>
        <w:keepLines w:val="0"/>
        <w:widowControl/>
        <w:suppressLineNumbers w:val="0"/>
        <w:spacing w:before="0" w:beforeAutospacing="0" w:after="226" w:afterAutospacing="0" w:line="30" w:lineRule="atLeast"/>
        <w:ind w:left="0" w:right="0" w:firstLine="42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第四章  运营管理</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第二十五条  养老机构应当按照国家有关规定建立健全安全、消防、食品、卫生、财务、档案管理等规章制度，制定服务标准和工作流程，并予以公开。</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第二十六条  养老机构应当配备与服务和运营相适应的工作人员，并依法与其签订聘用合同或者劳动合同，定期开展职业道德教育和业务培训。</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养老机构中从事医疗、康复、消防等服务的人员，应当具备相应的职业资格。</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养老机构应当加强对养老护理人员的职业技能培训，建立健全体现职业技能等级等因素的薪酬制度。</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第二十七条  养老机构应当依照其登记类型、经营性质、运营方式、设施设备条件、管理水平、服务质量、照料护理等级等因素合理确定服务项目的收费标准，并遵守国家和地方政府价格管理有关规定。</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养老机构应当在醒目位置公示各类服务项目收费标准和收费依据，接受社会监督。</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第二十八条  养老机构应当实行24小时值班，做好老年人安全保障工作。</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养老机构应当在各出入口、接待大厅、值班室、楼道、食堂等公共场所安装视频监控设施，并妥善保管视频监控记录。</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第二十九条  养老机构内设食堂的，应当取得市场监督管理部门颁发的食品经营许可证，严格遵守相关法律、法规和食品安全标准，执行原料控制、餐具饮具清洗消毒、食品留样等制度，并依法开展食堂食品安全自查。</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养老机构从供餐单位订餐的，应当从取得食品生产经营许可的供餐单位订购，并按照要求对订购的食品进行查验。</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第三十条  养老机构应当依法履行消防安全职责，健全消防安全管理制度，实行消防工作责任制，配置消防设施、器材并定期检测、维修，开展日常防火巡查、检查，定期组织灭火和应急疏散消防安全培训。</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养老机构的法定代表人或者主要负责人对本单位消防安全工作全面负责，属于消防安全重点单位的养老机构应当确定消防安全管理人，负责组织实施本单位消防安全管理工作，并报告当地消防救援机构。</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第三十一条  养老机构应当依法制定自然灾害、事故灾难、公共卫生事件、社会安全事件等突发事件应急预案，在场所内配备报警装置和必要的应急救援设备、设施，定期开展突发事件应急演练。</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突发事件发生后，养老机构应当立即启动应急预案，采取防止危害扩大的必要处置措施，同时根据突发事件应对管理职责分工向有关部门和民政部门报告。</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第三十二条  养老机构应当建立老年人信息档案，收集和妥善保管服务协议等相关资料。档案的保管期限不少于服务协议期满后五年。</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养老机构及其工作人员应当保护老年人的个人信息和隐私。</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第三十三条  养老机构应当按照国家有关规定接受、使用捐赠、资助。</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鼓励养老机构为社会工作者、志愿者在机构内开展服务提供便利。</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第三十四条  鼓励养老机构投保责任保险，降低机构运营风险。</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第三十五条  养老机构因变更或者终止等原因暂停、终止服务的，应当在合理期限内提前书面通知老年人或者其代理人，并书面告知民政部门。</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老年人需要安置的，养老机构应当根据服务协议约定与老年人或者其代理人协商确定安置事宜。民政部门应当为养老机构妥善安置老年人提供帮助。</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养老机构终止服务后，应当依法清算并办理注销登记。</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p>
    <w:p>
      <w:pPr>
        <w:pStyle w:val="2"/>
        <w:keepNext w:val="0"/>
        <w:keepLines w:val="0"/>
        <w:widowControl/>
        <w:suppressLineNumbers w:val="0"/>
        <w:spacing w:before="0" w:beforeAutospacing="0" w:after="226" w:afterAutospacing="0" w:line="30" w:lineRule="atLeast"/>
        <w:ind w:left="0" w:right="0" w:firstLine="42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第五章  监督检查</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第三十六条  民政部门应当加强对养老机构服务和运营的监督检查，发现违反本办法规定的，及时依法予以处理并向社会公布。</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民政部门在监督检查中发现养老机构存在应当由其他部门查处的违法违规行为的，及时通报有关部门处理。</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第三十七条  民政部门依法履行监督检查职责，可以采取以下措施：</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（一）向养老机构和个人了解情况；</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（二）进入涉嫌违法的养老机构进行现场检查；</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（三）查阅或者复制有关合同、票据、账簿及其他有关资料；</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（四）发现养老机构存在可能危及人身健康和生命财产安全风险的，责令限期改正，逾期不改正的，责令停业整顿。</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民政部门实施监督检查时，监督检查人员不得少于2人，应当出示执法证件。</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对民政部门依法进行的监督检查，养老机构应当配合，如实提供相关资料和信息，不得隐瞒、拒绝、阻碍。</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第三十八条  对已经备案的养老机构，备案民政部门应当自备案之日起20个工作日以内进行现场检查，并核实备案信息；对未备案的养老机构，服务场所所在地的县级人民政府民政部门应当自发现其收住老年人之日起20个工作日以内进行现场检查，并督促及时备案。</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民政部门应当每年对养老机构服务安全和质量进行不少于一次的现场检查。</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第三十九条  民政部门应当采取随机抽取检查对象、随机选派检查人员的方式对养老机构实施监督检查。抽查情况及查处结果应当及时向社会公布。  </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民政部门应当结合养老机构的服务规模、信用记录、风险程度等情况，确定抽查比例和频次。对违法失信、风险高的养老机构，适当提高抽查比例和频次，依法依规实施严管和惩戒。</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第四十条  民政部门应当加强对养老机构非法集资的防范、监测和预警工作，发现养老机构涉嫌非法集资的，按照有关规定及时移交相关部门。</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第四十一条  民政部门应当充分利用信息技术手段，加强对养老机构的监督检查，提高监管能力和水平。</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第四十二条  民政部门应当定期开展养老服务行业统计工作，养老机构应当及时准确报送相关信息。</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第四十三条  养老机构应当听取老年人或者其代理人的意见和建议，发挥其对养老机构服务和运营的监督促进作用。</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第四十四条  民政部门应当畅通对养老机构的举报投诉渠道，依法及时处理有关举报投诉。</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第四十五条  民政部门发现个人或者组织未经登记以养老机构名义开展活动的，应当书面通报相关登记管理机关，并配合做好查处工作。</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p>
    <w:p>
      <w:pPr>
        <w:pStyle w:val="2"/>
        <w:keepNext w:val="0"/>
        <w:keepLines w:val="0"/>
        <w:widowControl/>
        <w:suppressLineNumbers w:val="0"/>
        <w:spacing w:before="0" w:beforeAutospacing="0" w:after="226" w:afterAutospacing="0" w:line="30" w:lineRule="atLeast"/>
        <w:ind w:left="0" w:right="0" w:firstLine="42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第六章  法律责任</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第四十六条  养老机构有下列行为之一的，由民政部门责令改正，给予警告；情节严重的，处以3万元以下的罚款：</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（一）未建立入院评估制度或者未按照规定开展评估活动的；</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（二）未与老年人或者其代理人签订服务协议，或者未按照协议约定提供服务的；</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（三）未按照有关强制性国家标准提供服务的；</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（四）工作人员的资格不符合规定的；</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（五）利用养老机构的房屋、场地、设施开展与养老服务宗旨无关的活动的；</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（六）未依照本办法规定预防和处置突发事件的；</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（七）歧视、侮辱、虐待老年人以及其他侵害老年人人身和财产权益行为的；</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（八）向负责监督检查的民政部门隐瞒有关情况、提供虚假材料或者拒绝提供反映其活动情况真实材料的；</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（九）法律、法规、规章规定的其他违法行为。</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养老机构及其工作人员违反本办法有关规定，构成违反治安管理行为的，依法给予治安管理处罚；构成犯罪的，依法追究刑事责任。</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第四十七条  民政部门及其工作人员在监督管理工作中滥用职权、玩忽职守、徇私舞弊的，对直接负责的主管人员和其他责任人员依法依规给予处分；构成犯罪的，依法追究刑事责任。</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p>
    <w:p>
      <w:pPr>
        <w:pStyle w:val="2"/>
        <w:keepNext w:val="0"/>
        <w:keepLines w:val="0"/>
        <w:widowControl/>
        <w:suppressLineNumbers w:val="0"/>
        <w:spacing w:before="0" w:beforeAutospacing="0" w:after="226" w:afterAutospacing="0" w:line="30" w:lineRule="atLeast"/>
        <w:ind w:left="0" w:right="0" w:firstLine="42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第七章  附 则</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第四十八条  国家对农村五保供养服务机构的管理有特别规定的，依照其规定办理。</w:t>
      </w:r>
    </w:p>
    <w:p>
      <w:pPr>
        <w:pStyle w:val="2"/>
        <w:keepNext w:val="0"/>
        <w:keepLines w:val="0"/>
        <w:widowControl/>
        <w:suppressLineNumbers w:val="0"/>
        <w:spacing w:before="0" w:beforeAutospacing="0" w:after="226" w:afterAutospacing="0" w:line="30" w:lineRule="atLeast"/>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第四十九条  本办法自2020年11月1日起施行。2013年6月28日民政部发布的《养老机构管理办法》同时废止。</w:t>
      </w:r>
    </w:p>
    <w:p>
      <w:pPr>
        <w:rPr>
          <w:rFonts w:hint="eastAsia" w:ascii="仿宋" w:hAnsi="仿宋" w:eastAsia="仿宋" w:cs="仿宋"/>
          <w:kern w:val="2"/>
          <w:sz w:val="32"/>
          <w:szCs w:val="32"/>
          <w:lang w:val="en-US" w:eastAsia="zh-CN" w:bidi="ar-SA"/>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D10CF"/>
    <w:rsid w:val="5CCD10CF"/>
    <w:rsid w:val="5EEC6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444444"/>
      <w:u w:val="none"/>
    </w:rPr>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qFormat/>
    <w:uiPriority w:val="0"/>
    <w:rPr>
      <w:color w:val="444444"/>
      <w:u w:val="none"/>
    </w:rPr>
  </w:style>
  <w:style w:type="character" w:styleId="10">
    <w:name w:val="HTML Code"/>
    <w:basedOn w:val="4"/>
    <w:qFormat/>
    <w:uiPriority w:val="0"/>
    <w:rPr>
      <w:rFonts w:ascii="Courier New" w:hAnsi="Courier New"/>
      <w:sz w:val="20"/>
    </w:rPr>
  </w:style>
  <w:style w:type="character" w:styleId="11">
    <w:name w:val="HTML Cite"/>
    <w:basedOn w:val="4"/>
    <w:qFormat/>
    <w:uiPriority w:val="0"/>
  </w:style>
  <w:style w:type="character" w:customStyle="1" w:styleId="12">
    <w:name w:val="txt"/>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2021-11-09T08:59:00Z</dcterms:created>
  <dc:creator>兆清</dc:creator>
  <cp:lastModifiedBy>兆清</cp:lastModifiedBy>
  <dcterms:modified xsi:type="dcterms:W3CDTF">2021-11-09T10:16:47Z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793F207BAF0F4EC2B3E89F3505BF3CB0</vt:lpwstr>
  </property>
</Properties>
</file>